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BD531">
      <w:pPr>
        <w:pStyle w:val="3"/>
        <w:adjustRightInd w:val="0"/>
        <w:snapToGrid w:val="0"/>
        <w:spacing w:before="600" w:after="240"/>
        <w:jc w:val="center"/>
        <w:rPr>
          <w:rFonts w:ascii="方正小标宋简体" w:hAnsi="华文宋体" w:eastAsia="方正小标宋简体"/>
          <w:sz w:val="44"/>
          <w:szCs w:val="44"/>
        </w:rPr>
      </w:pPr>
      <w:r>
        <w:rPr>
          <w:rFonts w:hint="eastAsia" w:ascii="方正小标宋简体" w:hAnsi="华文宋体" w:eastAsia="方正小标宋简体"/>
          <w:sz w:val="44"/>
          <w:szCs w:val="44"/>
        </w:rPr>
        <w:t>计算机学院本科生综合素质测评实施细则（202</w:t>
      </w:r>
      <w:r>
        <w:rPr>
          <w:rFonts w:hint="eastAsia" w:ascii="方正小标宋简体" w:hAnsi="华文宋体" w:eastAsia="方正小标宋简体"/>
          <w:sz w:val="44"/>
          <w:szCs w:val="44"/>
          <w:lang w:val="en-US" w:eastAsia="zh-CN"/>
        </w:rPr>
        <w:t>6</w:t>
      </w:r>
      <w:r>
        <w:rPr>
          <w:rFonts w:hint="eastAsia" w:ascii="方正小标宋简体" w:hAnsi="华文宋体" w:eastAsia="方正小标宋简体"/>
          <w:sz w:val="44"/>
          <w:szCs w:val="44"/>
        </w:rPr>
        <w:t>年修订）</w:t>
      </w:r>
    </w:p>
    <w:p w14:paraId="33F04E46">
      <w:pPr>
        <w:widowControl/>
        <w:adjustRightInd w:val="0"/>
        <w:snapToGrid w:val="0"/>
        <w:spacing w:after="100" w:afterAutospacing="1" w:line="240" w:lineRule="atLeast"/>
        <w:rPr>
          <w:rFonts w:hint="eastAsia" w:ascii="仿宋_GB2312" w:hAnsi="黑体" w:eastAsia="仿宋_GB2312"/>
          <w:bCs w:val="0"/>
          <w:color w:val="auto"/>
          <w:sz w:val="32"/>
          <w:szCs w:val="32"/>
        </w:rPr>
      </w:pPr>
      <w:r>
        <w:rPr>
          <w:rFonts w:hint="eastAsia" w:ascii="宋体" w:hAnsi="宋体" w:cs="宋体"/>
          <w:b/>
          <w:bCs w:val="0"/>
          <w:color w:val="auto"/>
          <w:kern w:val="0"/>
        </w:rPr>
        <w:t xml:space="preserve">                              </w:t>
      </w:r>
      <w:r>
        <w:rPr>
          <w:rFonts w:hint="eastAsia" w:ascii="仿宋_GB2312" w:hAnsi="黑体" w:eastAsia="仿宋_GB2312"/>
          <w:bCs w:val="0"/>
          <w:color w:val="auto"/>
          <w:sz w:val="32"/>
          <w:szCs w:val="32"/>
        </w:rPr>
        <w:t>第一章  总则</w:t>
      </w:r>
    </w:p>
    <w:p w14:paraId="2C06BD98">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一、为贯彻党和国家的教育方针，坚持立德树人的根本任务，坚持以学生成长为中心，着力培养学生的学习力、思想力、行动力，服务学生的全面成长成才，激励学生奋发学习、刻苦钻研，自觉践行社会主义核心价值观，促进学生综合素质的全面发展，培养德智体美劳全面发展的社会主义建设者和接班人，根据《中山大学本科生奖学金管理规定》和《中山大学学生手册》，结合我院实际情况，制定本细则。</w:t>
      </w:r>
    </w:p>
    <w:p w14:paraId="431CEE04">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二、学生综合测评工作应当坚持程序规范、内容全面、标准客观、结果公正的要求。</w:t>
      </w:r>
    </w:p>
    <w:p w14:paraId="16589D8E">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三、本细则适用于在校全日制本科生。</w:t>
      </w:r>
    </w:p>
    <w:p w14:paraId="7D24D05E">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四、综合素质测评以专业（方向）为单位组织实施，按综合测评的排名作为优秀学生奖学金评定的依据。</w:t>
      </w:r>
    </w:p>
    <w:p w14:paraId="02C87381">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五、学生每年的综合测评成绩由学业平均绩点和综合测评附加分绩点两部分构成：</w:t>
      </w:r>
    </w:p>
    <w:p w14:paraId="09826F8B">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（一）学业平均分绩点计算方法为：</w:t>
      </w:r>
    </w:p>
    <w:p w14:paraId="5C47D49F">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学业平均分 = 单科考试成绩乘以该科目的学分求和再除以该学年总学分(单科考试成绩以补考前成绩为准)。计算科目为该学年所修的必修课与专业选修课，不含公共选修课。</w:t>
      </w:r>
    </w:p>
    <w:p w14:paraId="28316871">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 xml:space="preserve">    学业平均绩点 =（学业平均分-50）× 10%</w:t>
      </w:r>
    </w:p>
    <w:p w14:paraId="7F778494">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（二）综合测评附加分绩点计算方法为：</w:t>
      </w:r>
    </w:p>
    <w:p w14:paraId="79C66760">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综合测评附加分包括加分和扣分两大类别，其中加分分为三个一级指标和九个二级指标。一级指标包括德才兼备（上限为8分）、领袖气质（上限为5分）、家国情怀（上限为5分）。具体加分和扣分项目见本细则第三章细则。</w:t>
      </w:r>
    </w:p>
    <w:p w14:paraId="63965752">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综合测评附加分 = 加分总分 - 扣分总分。</w:t>
      </w:r>
    </w:p>
    <w:p w14:paraId="46AD7F07">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综合测评附加分绩点 = 综合测评附加分 ×10%</w:t>
      </w:r>
    </w:p>
    <w:p w14:paraId="5206A09D">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（三）综合测评成绩 = 学业平均绩点 + 综合测评附加分绩点 （保留小数点后两位）。</w:t>
      </w:r>
    </w:p>
    <w:p w14:paraId="7CF4AB74">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注：根据学校要求，综合测评附加分绩点不能超过本人学业平均绩点的20%。（如有超过者，其本人综合测评附加分绩点按学业平均绩点的20%计）。</w:t>
      </w:r>
    </w:p>
    <w:p w14:paraId="3912FA0E">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w:t>
      </w:r>
      <w:r>
        <w:rPr>
          <w:rFonts w:hint="eastAsia" w:ascii="仿宋_GB2312" w:hAnsi="Times New Roman" w:eastAsia="仿宋_GB2312"/>
          <w:bCs w:val="0"/>
          <w:color w:val="auto"/>
          <w:sz w:val="32"/>
          <w:szCs w:val="32"/>
          <w:lang w:val="en-US" w:eastAsia="zh-CN"/>
        </w:rPr>
        <w:t>四</w:t>
      </w:r>
      <w:r>
        <w:rPr>
          <w:rFonts w:hint="eastAsia" w:ascii="仿宋_GB2312" w:hAnsi="Times New Roman" w:eastAsia="仿宋_GB2312"/>
          <w:bCs w:val="0"/>
          <w:color w:val="auto"/>
          <w:sz w:val="32"/>
          <w:szCs w:val="32"/>
        </w:rPr>
        <w:t>）加分项目的有效时间区间，原则上以学校校历公布的学年时间为准，如有特殊情况</w:t>
      </w:r>
      <w:r>
        <w:rPr>
          <w:rFonts w:hint="eastAsia" w:ascii="仿宋_GB2312" w:hAnsi="Times New Roman" w:eastAsia="仿宋_GB2312"/>
          <w:bCs w:val="0"/>
          <w:color w:val="auto"/>
          <w:sz w:val="32"/>
          <w:szCs w:val="32"/>
          <w:lang w:val="en-US" w:eastAsia="zh-CN"/>
        </w:rPr>
        <w:t>以学院通知为准</w:t>
      </w:r>
      <w:r>
        <w:rPr>
          <w:rFonts w:hint="eastAsia" w:ascii="仿宋_GB2312" w:hAnsi="Times New Roman" w:eastAsia="仿宋_GB2312"/>
          <w:bCs w:val="0"/>
          <w:color w:val="auto"/>
          <w:sz w:val="32"/>
          <w:szCs w:val="32"/>
        </w:rPr>
        <w:t>。</w:t>
      </w:r>
    </w:p>
    <w:p w14:paraId="388A8A4E">
      <w:pPr>
        <w:spacing w:before="50"/>
        <w:ind w:firstLine="2560" w:firstLineChars="8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第二章  评审机构及程序</w:t>
      </w:r>
    </w:p>
    <w:p w14:paraId="0FC23228">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一、执行机构及职责：</w:t>
      </w:r>
    </w:p>
    <w:p w14:paraId="5D907214">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学院设立本科生奖助学金评审委员会，成员包括主管学生工作的领导、主管本科生教学的领导、辅导员、教师代表、教务员和学生代表等，负责本科生综合测评与奖助学金的推荐和初评工作。学院学生工作办公室为本科生奖助学金评审委员会的具体执行机构。如要修订评审规则和实施办法，应报学院党政联席会讨论通过。</w:t>
      </w:r>
    </w:p>
    <w:p w14:paraId="0800B060">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各班或专业（方向）（以下简称班）应成立班级综合测评与奖学金评审小组，负责本班综合测评和奖学金的初评工作，具体负责发布通知、审核验证附加分证明、组织测评计分及根据测评结果评选奖学金等级等事宜。小组成员一般设</w:t>
      </w:r>
      <w:r>
        <w:rPr>
          <w:rFonts w:hint="eastAsia" w:ascii="仿宋_GB2312" w:hAnsi="Times New Roman" w:eastAsia="仿宋_GB2312"/>
          <w:bCs w:val="0"/>
          <w:color w:val="auto"/>
          <w:sz w:val="32"/>
          <w:szCs w:val="32"/>
          <w:lang w:val="en-US" w:eastAsia="zh-CN"/>
        </w:rPr>
        <w:t>5</w:t>
      </w:r>
      <w:r>
        <w:rPr>
          <w:rFonts w:hint="eastAsia" w:ascii="仿宋_GB2312" w:hAnsi="Times New Roman" w:eastAsia="仿宋_GB2312"/>
          <w:bCs w:val="0"/>
          <w:color w:val="auto"/>
          <w:sz w:val="32"/>
          <w:szCs w:val="32"/>
        </w:rPr>
        <w:t>人，其中党支部书记（党小组成员）、班长、团支书为当然成员，其余人选则由各班民主推选产生，其中应有非班干部和学生党员。班长为组长，负责组织各班综合测评各项事宜。</w:t>
      </w:r>
    </w:p>
    <w:p w14:paraId="653C1BB7">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二、评审程序：</w:t>
      </w:r>
    </w:p>
    <w:p w14:paraId="51AFCEBE">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（一）各班在收到进行综合测评通知2日内成立班级综合测评与奖学金评审小组（以下简称班级评审小组），向同学广泛宣传并组织实施测评工作。</w:t>
      </w:r>
    </w:p>
    <w:p w14:paraId="3BD91B0A">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（二）各班级评审小组收集、统计、审核各班成员加分项目和最后分值。</w:t>
      </w:r>
    </w:p>
    <w:p w14:paraId="5771C337">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（三）各班级评审小组将统计结果在全班公示</w:t>
      </w:r>
      <w:r>
        <w:rPr>
          <w:rFonts w:hint="eastAsia" w:ascii="仿宋_GB2312" w:hAnsi="Times New Roman" w:eastAsia="仿宋_GB2312"/>
          <w:bCs w:val="0"/>
          <w:color w:val="auto"/>
          <w:sz w:val="32"/>
          <w:szCs w:val="32"/>
          <w:lang w:val="en-US" w:eastAsia="zh-CN"/>
        </w:rPr>
        <w:t>1</w:t>
      </w:r>
      <w:r>
        <w:rPr>
          <w:rFonts w:hint="eastAsia" w:ascii="仿宋_GB2312" w:hAnsi="Times New Roman" w:eastAsia="仿宋_GB2312"/>
          <w:bCs w:val="0"/>
          <w:color w:val="auto"/>
          <w:sz w:val="32"/>
          <w:szCs w:val="32"/>
        </w:rPr>
        <w:t>日，然后提交给负责的辅导员。</w:t>
      </w:r>
    </w:p>
    <w:p w14:paraId="40F000E6">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（四）辅导员进行审核后，</w:t>
      </w:r>
      <w:r>
        <w:rPr>
          <w:rFonts w:hint="eastAsia" w:ascii="仿宋_GB2312" w:hAnsi="Times New Roman" w:eastAsia="仿宋_GB2312"/>
          <w:bCs w:val="0"/>
          <w:color w:val="auto"/>
          <w:sz w:val="32"/>
          <w:szCs w:val="32"/>
          <w:lang w:val="en-US" w:eastAsia="zh-CN"/>
        </w:rPr>
        <w:t>在年级公示不少于1日后</w:t>
      </w:r>
      <w:r>
        <w:rPr>
          <w:rFonts w:hint="eastAsia" w:ascii="仿宋_GB2312" w:hAnsi="Times New Roman" w:eastAsia="仿宋_GB2312"/>
          <w:bCs w:val="0"/>
          <w:color w:val="auto"/>
          <w:sz w:val="32"/>
          <w:szCs w:val="32"/>
        </w:rPr>
        <w:t>将评审结果提交学院本科生奖助学金评审委员会。</w:t>
      </w:r>
    </w:p>
    <w:p w14:paraId="23644308">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（五）学院本科生奖助学金评审委员会进行审核，并将审核结果公示不少于</w:t>
      </w:r>
      <w:r>
        <w:rPr>
          <w:rFonts w:hint="eastAsia" w:ascii="仿宋_GB2312" w:hAnsi="Times New Roman" w:eastAsia="仿宋_GB2312"/>
          <w:bCs w:val="0"/>
          <w:color w:val="auto"/>
          <w:sz w:val="32"/>
          <w:szCs w:val="32"/>
          <w:lang w:val="en-US" w:eastAsia="zh-CN"/>
        </w:rPr>
        <w:t>2</w:t>
      </w:r>
      <w:r>
        <w:rPr>
          <w:rFonts w:hint="eastAsia" w:ascii="仿宋_GB2312" w:hAnsi="Times New Roman" w:eastAsia="仿宋_GB2312"/>
          <w:bCs w:val="0"/>
          <w:color w:val="auto"/>
          <w:sz w:val="32"/>
          <w:szCs w:val="32"/>
        </w:rPr>
        <w:t>日。</w:t>
      </w:r>
    </w:p>
    <w:p w14:paraId="5D763005">
      <w:pPr>
        <w:spacing w:before="50"/>
        <w:ind w:firstLine="320" w:firstLineChars="1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（六）公示后</w:t>
      </w:r>
      <w:r>
        <w:rPr>
          <w:rFonts w:hint="eastAsia" w:ascii="仿宋_GB2312" w:hAnsi="Times New Roman" w:eastAsia="仿宋_GB2312"/>
          <w:bCs w:val="0"/>
          <w:color w:val="auto"/>
          <w:sz w:val="32"/>
          <w:szCs w:val="32"/>
          <w:lang w:val="en-US" w:eastAsia="zh-CN"/>
        </w:rPr>
        <w:t>年级辅导员</w:t>
      </w:r>
      <w:r>
        <w:rPr>
          <w:rFonts w:hint="eastAsia" w:ascii="仿宋_GB2312" w:hAnsi="Times New Roman" w:eastAsia="仿宋_GB2312"/>
          <w:bCs w:val="0"/>
          <w:color w:val="auto"/>
          <w:sz w:val="32"/>
          <w:szCs w:val="32"/>
        </w:rPr>
        <w:t>将测评结果反馈给各班作为奖助学金的评选依据。</w:t>
      </w:r>
    </w:p>
    <w:p w14:paraId="681C2498">
      <w:pPr>
        <w:spacing w:before="50"/>
        <w:ind w:firstLine="640" w:firstLineChars="200"/>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三、申诉与复议程序：</w:t>
      </w:r>
    </w:p>
    <w:p w14:paraId="61335BC6">
      <w:pPr>
        <w:numPr>
          <w:ilvl w:val="0"/>
          <w:numId w:val="1"/>
        </w:numPr>
        <w:spacing w:before="50"/>
        <w:jc w:val="left"/>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班级公示期间，学生如对评选结果有异议，由本人向所在班级评审小组提出申诉与复议申请及相关证明材料。如确实漏加、错加的，由班级评审小组修正结果及反馈本人。</w:t>
      </w:r>
    </w:p>
    <w:p w14:paraId="796BE438">
      <w:pPr>
        <w:numPr>
          <w:ilvl w:val="0"/>
          <w:numId w:val="1"/>
        </w:numPr>
        <w:spacing w:before="50"/>
        <w:jc w:val="left"/>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lang w:val="en-US" w:eastAsia="zh-CN"/>
        </w:rPr>
        <w:t>年级公示或</w:t>
      </w:r>
      <w:r>
        <w:rPr>
          <w:rFonts w:hint="eastAsia" w:ascii="仿宋_GB2312" w:hAnsi="Times New Roman" w:eastAsia="仿宋_GB2312"/>
          <w:bCs w:val="0"/>
          <w:color w:val="auto"/>
          <w:sz w:val="32"/>
          <w:szCs w:val="32"/>
        </w:rPr>
        <w:t>学院公示期间，学生如对评选结果有异议，由本人通过所在班级向</w:t>
      </w:r>
      <w:r>
        <w:rPr>
          <w:rFonts w:hint="eastAsia" w:ascii="仿宋_GB2312" w:hAnsi="Times New Roman" w:eastAsia="仿宋_GB2312"/>
          <w:bCs w:val="0"/>
          <w:color w:val="auto"/>
          <w:sz w:val="32"/>
          <w:szCs w:val="32"/>
          <w:lang w:val="en-US" w:eastAsia="zh-CN"/>
        </w:rPr>
        <w:t>年级辅导员</w:t>
      </w:r>
      <w:r>
        <w:rPr>
          <w:rFonts w:hint="eastAsia" w:ascii="仿宋_GB2312" w:hAnsi="Times New Roman" w:eastAsia="仿宋_GB2312"/>
          <w:bCs w:val="0"/>
          <w:color w:val="auto"/>
          <w:sz w:val="32"/>
          <w:szCs w:val="32"/>
        </w:rPr>
        <w:t>提出申诉与复议申请及相关证明材料。</w:t>
      </w:r>
    </w:p>
    <w:p w14:paraId="08FC1A80">
      <w:pPr>
        <w:numPr>
          <w:ilvl w:val="0"/>
          <w:numId w:val="1"/>
        </w:numPr>
        <w:spacing w:before="50"/>
        <w:jc w:val="left"/>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经</w:t>
      </w:r>
      <w:r>
        <w:rPr>
          <w:rFonts w:hint="eastAsia" w:ascii="仿宋_GB2312" w:hAnsi="Times New Roman" w:eastAsia="仿宋_GB2312"/>
          <w:bCs w:val="0"/>
          <w:color w:val="auto"/>
          <w:sz w:val="32"/>
          <w:szCs w:val="32"/>
          <w:lang w:val="en-US" w:eastAsia="zh-CN"/>
        </w:rPr>
        <w:t>年级或</w:t>
      </w:r>
      <w:r>
        <w:rPr>
          <w:rFonts w:hint="eastAsia" w:ascii="仿宋_GB2312" w:hAnsi="Times New Roman" w:eastAsia="仿宋_GB2312"/>
          <w:bCs w:val="0"/>
          <w:color w:val="auto"/>
          <w:sz w:val="32"/>
          <w:szCs w:val="32"/>
        </w:rPr>
        <w:t>学院本科生奖助学金评审委员会核实，确属漏加、错加的，将意见反馈给各班进行更正，并由班级将更改结果反馈学生本人。</w:t>
      </w:r>
    </w:p>
    <w:p w14:paraId="7B9EBC09">
      <w:pPr>
        <w:numPr>
          <w:ilvl w:val="0"/>
          <w:numId w:val="1"/>
        </w:numPr>
        <w:spacing w:before="50"/>
        <w:jc w:val="left"/>
        <w:rPr>
          <w:rFonts w:hint="eastAsia" w:ascii="仿宋_GB2312" w:hAnsi="Times New Roman" w:eastAsia="仿宋_GB2312"/>
          <w:bCs w:val="0"/>
          <w:color w:val="auto"/>
          <w:sz w:val="32"/>
          <w:szCs w:val="32"/>
        </w:rPr>
      </w:pPr>
      <w:r>
        <w:rPr>
          <w:rFonts w:hint="eastAsia" w:ascii="仿宋_GB2312" w:hAnsi="Times New Roman" w:eastAsia="仿宋_GB2312"/>
          <w:bCs w:val="0"/>
          <w:color w:val="auto"/>
          <w:sz w:val="32"/>
          <w:szCs w:val="32"/>
        </w:rPr>
        <w:t>最终结果应在班级和学生工作办公室存档。</w:t>
      </w:r>
    </w:p>
    <w:p w14:paraId="4ADDAB23">
      <w:pPr>
        <w:spacing w:before="50"/>
        <w:jc w:val="center"/>
        <w:rPr>
          <w:rFonts w:hint="eastAsia" w:ascii="仿宋_GB2312" w:hAnsi="黑体" w:eastAsia="仿宋_GB2312"/>
          <w:bCs w:val="0"/>
          <w:color w:val="auto"/>
          <w:sz w:val="32"/>
          <w:szCs w:val="32"/>
        </w:rPr>
      </w:pPr>
      <w:r>
        <w:rPr>
          <w:rFonts w:hint="eastAsia" w:ascii="仿宋_GB2312" w:hAnsi="黑体" w:eastAsia="仿宋_GB2312"/>
          <w:bCs w:val="0"/>
          <w:color w:val="auto"/>
          <w:sz w:val="32"/>
          <w:szCs w:val="32"/>
        </w:rPr>
        <w:t>第三章     细则</w:t>
      </w:r>
    </w:p>
    <w:p w14:paraId="4CE30465">
      <w:pPr>
        <w:spacing w:before="50"/>
        <w:jc w:val="center"/>
        <w:rPr>
          <w:rFonts w:ascii="黑体" w:hAnsi="黑体" w:eastAsia="黑体"/>
          <w:bCs w:val="0"/>
          <w:color w:val="auto"/>
          <w:sz w:val="32"/>
        </w:rPr>
        <w:sectPr>
          <w:footerReference r:id="rId3" w:type="default"/>
          <w:footerReference r:id="rId4" w:type="even"/>
          <w:pgSz w:w="11906" w:h="16838"/>
          <w:pgMar w:top="992" w:right="1644" w:bottom="992" w:left="1644" w:header="851" w:footer="992" w:gutter="0"/>
          <w:cols w:space="720" w:num="1"/>
          <w:docGrid w:type="lines" w:linePitch="312" w:charSpace="0"/>
        </w:sectPr>
      </w:pPr>
      <w:r>
        <w:rPr>
          <w:rFonts w:hint="eastAsia" w:ascii="仿宋_GB2312" w:hAnsi="黑体" w:eastAsia="仿宋_GB2312"/>
          <w:bCs w:val="0"/>
          <w:color w:val="auto"/>
          <w:sz w:val="32"/>
          <w:szCs w:val="32"/>
        </w:rPr>
        <w:t>第一部分    加分细则</w:t>
      </w:r>
    </w:p>
    <w:tbl>
      <w:tblPr>
        <w:tblStyle w:val="5"/>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7"/>
        <w:gridCol w:w="2464"/>
        <w:gridCol w:w="5341"/>
        <w:gridCol w:w="1056"/>
        <w:gridCol w:w="975"/>
        <w:gridCol w:w="4384"/>
      </w:tblGrid>
      <w:tr w14:paraId="1B98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14:paraId="4386C7DD">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一级指标</w:t>
            </w:r>
          </w:p>
        </w:tc>
        <w:tc>
          <w:tcPr>
            <w:tcW w:w="0" w:type="auto"/>
            <w:noWrap w:val="0"/>
            <w:vAlign w:val="center"/>
          </w:tcPr>
          <w:p w14:paraId="555136EF">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二级指标</w:t>
            </w:r>
          </w:p>
        </w:tc>
        <w:tc>
          <w:tcPr>
            <w:tcW w:w="2464" w:type="dxa"/>
            <w:noWrap w:val="0"/>
            <w:vAlign w:val="center"/>
          </w:tcPr>
          <w:p w14:paraId="74911E0D">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测评点</w:t>
            </w:r>
          </w:p>
        </w:tc>
        <w:tc>
          <w:tcPr>
            <w:tcW w:w="5341" w:type="dxa"/>
            <w:noWrap w:val="0"/>
            <w:vAlign w:val="center"/>
          </w:tcPr>
          <w:p w14:paraId="30B3D33D">
            <w:pPr>
              <w:widowControl/>
              <w:adjustRightInd w:val="0"/>
              <w:snapToGrid w:val="0"/>
              <w:spacing w:before="100" w:beforeAutospacing="1" w:after="100" w:afterAutospacing="1"/>
              <w:ind w:firstLine="241" w:firstLineChars="100"/>
              <w:jc w:val="center"/>
              <w:rPr>
                <w:rFonts w:ascii="宋体" w:hAnsi="宋体" w:cs="宋体"/>
                <w:b/>
                <w:color w:val="auto"/>
                <w:kern w:val="0"/>
                <w:sz w:val="24"/>
              </w:rPr>
            </w:pPr>
            <w:r>
              <w:rPr>
                <w:rFonts w:hint="eastAsia" w:ascii="宋体" w:hAnsi="宋体" w:cs="宋体"/>
                <w:b/>
                <w:color w:val="auto"/>
                <w:kern w:val="0"/>
                <w:sz w:val="24"/>
              </w:rPr>
              <w:t>加分项目</w:t>
            </w:r>
          </w:p>
        </w:tc>
        <w:tc>
          <w:tcPr>
            <w:tcW w:w="1056" w:type="dxa"/>
            <w:noWrap w:val="0"/>
            <w:vAlign w:val="center"/>
          </w:tcPr>
          <w:p w14:paraId="580FAF6F">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分值</w:t>
            </w:r>
          </w:p>
        </w:tc>
        <w:tc>
          <w:tcPr>
            <w:tcW w:w="975" w:type="dxa"/>
            <w:noWrap w:val="0"/>
            <w:vAlign w:val="center"/>
          </w:tcPr>
          <w:p w14:paraId="197957F0">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一级指标说明</w:t>
            </w:r>
          </w:p>
        </w:tc>
        <w:tc>
          <w:tcPr>
            <w:tcW w:w="4384" w:type="dxa"/>
            <w:noWrap w:val="0"/>
            <w:vAlign w:val="center"/>
          </w:tcPr>
          <w:p w14:paraId="17C78882">
            <w:pPr>
              <w:widowControl/>
              <w:adjustRightInd w:val="0"/>
              <w:snapToGrid w:val="0"/>
              <w:spacing w:before="100" w:beforeAutospacing="1" w:after="100" w:afterAutospacing="1"/>
              <w:jc w:val="center"/>
              <w:rPr>
                <w:rFonts w:ascii="宋体" w:hAnsi="宋体" w:cs="宋体"/>
                <w:b/>
                <w:color w:val="auto"/>
                <w:kern w:val="0"/>
                <w:sz w:val="24"/>
              </w:rPr>
            </w:pPr>
            <w:r>
              <w:rPr>
                <w:rFonts w:hint="eastAsia" w:ascii="宋体" w:hAnsi="宋体" w:cs="宋体"/>
                <w:b/>
                <w:color w:val="auto"/>
                <w:kern w:val="0"/>
                <w:sz w:val="24"/>
              </w:rPr>
              <w:t>二级指标说明</w:t>
            </w:r>
          </w:p>
        </w:tc>
      </w:tr>
      <w:tr w14:paraId="6E6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0" w:type="auto"/>
            <w:vMerge w:val="restart"/>
            <w:noWrap w:val="0"/>
            <w:vAlign w:val="center"/>
          </w:tcPr>
          <w:p w14:paraId="1BDB12AE">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德才兼备</w:t>
            </w:r>
          </w:p>
        </w:tc>
        <w:tc>
          <w:tcPr>
            <w:tcW w:w="0" w:type="auto"/>
            <w:vMerge w:val="restart"/>
            <w:noWrap w:val="0"/>
            <w:vAlign w:val="center"/>
          </w:tcPr>
          <w:p w14:paraId="19454678">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理想信念</w:t>
            </w:r>
          </w:p>
        </w:tc>
        <w:tc>
          <w:tcPr>
            <w:tcW w:w="2464" w:type="dxa"/>
            <w:vMerge w:val="restart"/>
            <w:noWrap w:val="0"/>
            <w:vAlign w:val="center"/>
          </w:tcPr>
          <w:p w14:paraId="346396D3">
            <w:pPr>
              <w:rPr>
                <w:rFonts w:ascii="宋体" w:hAnsi="宋体" w:cs="宋体"/>
                <w:bCs w:val="0"/>
                <w:color w:val="auto"/>
                <w:kern w:val="0"/>
              </w:rPr>
            </w:pPr>
            <w:r>
              <w:rPr>
                <w:rFonts w:hint="eastAsia" w:ascii="宋体" w:hAnsi="宋体" w:cs="宋体"/>
                <w:color w:val="auto"/>
                <w:kern w:val="0"/>
              </w:rPr>
              <w:t>1）拥护中国共产党领导，拥护党的路线方针政策；2）不断增强“四个意识”，坚定“四个自信”，做到“两个维护”；3）有正确的世界观、人生观和价值观；4）践行民族团结精神；5）践行社会主义核心价值观；6）积极学习马克思列宁主义、毛泽东思想、邓小平理论、“三个代表”重要思想、科学发展观、习近平新时代中国特色社会主义思想。</w:t>
            </w:r>
          </w:p>
        </w:tc>
        <w:tc>
          <w:tcPr>
            <w:tcW w:w="5341" w:type="dxa"/>
            <w:noWrap w:val="0"/>
            <w:vAlign w:val="center"/>
          </w:tcPr>
          <w:p w14:paraId="033FDFAA">
            <w:pPr>
              <w:rPr>
                <w:rFonts w:hint="eastAsia"/>
                <w:color w:val="auto"/>
              </w:rPr>
            </w:pPr>
          </w:p>
          <w:p w14:paraId="381F7D9D">
            <w:pPr>
              <w:rPr>
                <w:color w:val="auto"/>
              </w:rPr>
            </w:pPr>
            <w:r>
              <w:rPr>
                <w:rFonts w:hint="eastAsia"/>
                <w:color w:val="auto"/>
              </w:rPr>
              <w:t>马研班（中山大学学生马克思主义理论研修班）、青马班（大学生青年马克思主义者培养工程）：</w:t>
            </w:r>
          </w:p>
          <w:p w14:paraId="09D93D54">
            <w:pPr>
              <w:rPr>
                <w:b/>
                <w:color w:val="auto"/>
              </w:rPr>
            </w:pPr>
            <w:r>
              <w:rPr>
                <w:rFonts w:hint="eastAsia"/>
                <w:b/>
                <w:color w:val="auto"/>
              </w:rPr>
              <w:t>获评优秀学员</w:t>
            </w:r>
          </w:p>
          <w:p w14:paraId="0B129B53">
            <w:pPr>
              <w:rPr>
                <w:color w:val="auto"/>
              </w:rPr>
            </w:pPr>
            <w:r>
              <w:rPr>
                <w:rFonts w:hint="eastAsia"/>
                <w:color w:val="auto"/>
              </w:rPr>
              <w:t>国家级 3.0、省级 2.0、校级 1.0，院级0</w:t>
            </w:r>
            <w:r>
              <w:rPr>
                <w:color w:val="auto"/>
              </w:rPr>
              <w:t>.5</w:t>
            </w:r>
          </w:p>
          <w:p w14:paraId="3EA1025A">
            <w:pPr>
              <w:rPr>
                <w:b/>
                <w:color w:val="auto"/>
              </w:rPr>
            </w:pPr>
            <w:r>
              <w:rPr>
                <w:rFonts w:hint="eastAsia"/>
                <w:b/>
                <w:color w:val="auto"/>
              </w:rPr>
              <w:t>参与并结业学员</w:t>
            </w:r>
          </w:p>
          <w:p w14:paraId="44FBA4D9">
            <w:pPr>
              <w:rPr>
                <w:rFonts w:hint="eastAsia"/>
                <w:color w:val="auto"/>
              </w:rPr>
            </w:pPr>
            <w:r>
              <w:rPr>
                <w:rFonts w:hint="eastAsia"/>
                <w:color w:val="auto"/>
              </w:rPr>
              <w:t>国家级 1.8、省级 1.2、校级0.6</w:t>
            </w:r>
          </w:p>
          <w:p w14:paraId="334FBFAA">
            <w:pPr>
              <w:rPr>
                <w:rFonts w:hint="eastAsia"/>
                <w:color w:val="auto"/>
              </w:rPr>
            </w:pPr>
          </w:p>
        </w:tc>
        <w:tc>
          <w:tcPr>
            <w:tcW w:w="1056" w:type="dxa"/>
            <w:noWrap w:val="0"/>
            <w:vAlign w:val="center"/>
          </w:tcPr>
          <w:p w14:paraId="6D0054B3">
            <w:pPr>
              <w:widowControl/>
              <w:adjustRightInd w:val="0"/>
              <w:snapToGrid w:val="0"/>
              <w:spacing w:before="100" w:beforeAutospacing="1" w:after="100" w:afterAutospacing="1"/>
              <w:rPr>
                <w:rFonts w:ascii="宋体" w:hAnsi="宋体" w:cs="宋体"/>
                <w:color w:val="auto"/>
                <w:kern w:val="0"/>
              </w:rPr>
            </w:pPr>
            <w:r>
              <w:rPr>
                <w:rFonts w:ascii="宋体" w:hAnsi="宋体" w:cs="宋体"/>
                <w:color w:val="auto"/>
                <w:kern w:val="0"/>
              </w:rPr>
              <w:t>0.5</w:t>
            </w:r>
            <w:r>
              <w:rPr>
                <w:rFonts w:hint="eastAsia" w:ascii="宋体" w:hAnsi="宋体" w:cs="宋体"/>
                <w:color w:val="auto"/>
                <w:kern w:val="0"/>
              </w:rPr>
              <w:t>-3.0</w:t>
            </w:r>
          </w:p>
        </w:tc>
        <w:tc>
          <w:tcPr>
            <w:tcW w:w="975" w:type="dxa"/>
            <w:vMerge w:val="restart"/>
            <w:noWrap w:val="0"/>
            <w:vAlign w:val="center"/>
          </w:tcPr>
          <w:p w14:paraId="7514D171">
            <w:pPr>
              <w:rPr>
                <w:rFonts w:ascii="宋体" w:hAnsi="宋体"/>
                <w:b/>
                <w:color w:val="auto"/>
              </w:rPr>
            </w:pPr>
            <w:r>
              <w:rPr>
                <w:rFonts w:hint="eastAsia" w:ascii="宋体" w:hAnsi="宋体"/>
                <w:b/>
                <w:color w:val="auto"/>
              </w:rPr>
              <w:t>“德才兼备”总加分上限为8分，累计8分以上者按8分计</w:t>
            </w:r>
          </w:p>
        </w:tc>
        <w:tc>
          <w:tcPr>
            <w:tcW w:w="4384" w:type="dxa"/>
            <w:vMerge w:val="restart"/>
            <w:noWrap w:val="0"/>
            <w:vAlign w:val="center"/>
          </w:tcPr>
          <w:p w14:paraId="000F0A2E">
            <w:pPr>
              <w:numPr>
                <w:ilvl w:val="0"/>
                <w:numId w:val="2"/>
              </w:numPr>
              <w:rPr>
                <w:rFonts w:ascii="宋体" w:hAnsi="宋体"/>
                <w:color w:val="auto"/>
              </w:rPr>
            </w:pPr>
            <w:r>
              <w:rPr>
                <w:rFonts w:hint="eastAsia" w:ascii="宋体" w:hAnsi="宋体" w:cs="宋体"/>
                <w:color w:val="auto"/>
                <w:kern w:val="0"/>
              </w:rPr>
              <w:t>参加不同的培训班，加分</w:t>
            </w:r>
            <w:r>
              <w:rPr>
                <w:rFonts w:hint="eastAsia" w:ascii="宋体" w:hAnsi="宋体"/>
                <w:color w:val="auto"/>
              </w:rPr>
              <w:t>可以累加；同一培训班的优秀学员和结业学员加分不得累加。</w:t>
            </w:r>
          </w:p>
          <w:p w14:paraId="2C50A8FC">
            <w:pPr>
              <w:numPr>
                <w:ilvl w:val="0"/>
                <w:numId w:val="2"/>
              </w:numPr>
              <w:rPr>
                <w:rFonts w:ascii="宋体" w:hAnsi="宋体"/>
                <w:color w:val="auto"/>
              </w:rPr>
            </w:pPr>
            <w:r>
              <w:rPr>
                <w:rFonts w:hint="eastAsia" w:ascii="宋体" w:hAnsi="宋体" w:cs="宋体"/>
                <w:color w:val="auto"/>
                <w:kern w:val="0"/>
              </w:rPr>
              <w:t>所有加分或参赛必须提供书面有效证明</w:t>
            </w:r>
            <w:r>
              <w:rPr>
                <w:rFonts w:hint="eastAsia" w:ascii="宋体" w:hAnsi="宋体" w:cs="宋体"/>
                <w:b/>
                <w:color w:val="auto"/>
                <w:kern w:val="0"/>
              </w:rPr>
              <w:t>（包括奖状或结业证明等）。</w:t>
            </w:r>
          </w:p>
          <w:p w14:paraId="2976C982">
            <w:pPr>
              <w:widowControl/>
              <w:adjustRightInd w:val="0"/>
              <w:snapToGrid w:val="0"/>
              <w:rPr>
                <w:rFonts w:ascii="宋体" w:hAnsi="宋体" w:cs="宋体"/>
                <w:b/>
                <w:color w:val="auto"/>
                <w:kern w:val="0"/>
              </w:rPr>
            </w:pPr>
            <w:r>
              <w:rPr>
                <w:rFonts w:ascii="宋体" w:hAnsi="宋体" w:cs="宋体"/>
                <w:b/>
                <w:color w:val="auto"/>
                <w:kern w:val="0"/>
              </w:rPr>
              <w:t>3</w:t>
            </w:r>
            <w:r>
              <w:rPr>
                <w:rFonts w:hint="eastAsia" w:ascii="宋体" w:hAnsi="宋体" w:cs="宋体"/>
                <w:b/>
                <w:color w:val="auto"/>
                <w:kern w:val="0"/>
              </w:rPr>
              <w:t>、“理想信念”加分上限为3分，累计3分以上按3分计算。</w:t>
            </w:r>
          </w:p>
          <w:p w14:paraId="269400D6">
            <w:pPr>
              <w:widowControl/>
              <w:adjustRightInd w:val="0"/>
              <w:snapToGrid w:val="0"/>
              <w:rPr>
                <w:rFonts w:hint="eastAsia" w:ascii="宋体" w:hAnsi="宋体"/>
                <w:color w:val="auto"/>
              </w:rPr>
            </w:pPr>
          </w:p>
        </w:tc>
      </w:tr>
      <w:tr w14:paraId="3BED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0" w:type="auto"/>
            <w:vMerge w:val="continue"/>
            <w:noWrap w:val="0"/>
            <w:vAlign w:val="center"/>
          </w:tcPr>
          <w:p w14:paraId="384E3744">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23B3C516">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668B0DDF">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353BFD0E">
            <w:pPr>
              <w:rPr>
                <w:color w:val="auto"/>
              </w:rPr>
            </w:pPr>
            <w:r>
              <w:rPr>
                <w:rFonts w:hint="eastAsia"/>
                <w:color w:val="auto"/>
              </w:rPr>
              <w:t>积极参与由党团组织的理论学习培训班，并获评优秀学员：</w:t>
            </w:r>
          </w:p>
          <w:p w14:paraId="09F63DF6">
            <w:pPr>
              <w:rPr>
                <w:rFonts w:hint="eastAsia"/>
                <w:color w:val="auto"/>
              </w:rPr>
            </w:pPr>
            <w:r>
              <w:rPr>
                <w:rFonts w:hint="eastAsia"/>
                <w:color w:val="auto"/>
              </w:rPr>
              <w:t>国家级 1</w:t>
            </w:r>
            <w:r>
              <w:rPr>
                <w:color w:val="auto"/>
              </w:rPr>
              <w:t>.5</w:t>
            </w:r>
            <w:r>
              <w:rPr>
                <w:rFonts w:hint="eastAsia"/>
                <w:color w:val="auto"/>
              </w:rPr>
              <w:t xml:space="preserve">、省级 </w:t>
            </w:r>
            <w:r>
              <w:rPr>
                <w:color w:val="auto"/>
              </w:rPr>
              <w:t>0.</w:t>
            </w:r>
            <w:r>
              <w:rPr>
                <w:rFonts w:hint="eastAsia"/>
                <w:color w:val="auto"/>
              </w:rPr>
              <w:t xml:space="preserve">8、校级 </w:t>
            </w:r>
            <w:r>
              <w:rPr>
                <w:color w:val="auto"/>
              </w:rPr>
              <w:t>0.3</w:t>
            </w:r>
            <w:r>
              <w:rPr>
                <w:rFonts w:hint="eastAsia"/>
                <w:color w:val="auto"/>
              </w:rPr>
              <w:t>、院级0.2</w:t>
            </w:r>
          </w:p>
        </w:tc>
        <w:tc>
          <w:tcPr>
            <w:tcW w:w="1056" w:type="dxa"/>
            <w:noWrap w:val="0"/>
            <w:vAlign w:val="center"/>
          </w:tcPr>
          <w:p w14:paraId="753F2F0F">
            <w:pPr>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0.3-1.5</w:t>
            </w:r>
          </w:p>
        </w:tc>
        <w:tc>
          <w:tcPr>
            <w:tcW w:w="975" w:type="dxa"/>
            <w:vMerge w:val="continue"/>
            <w:noWrap w:val="0"/>
            <w:vAlign w:val="center"/>
          </w:tcPr>
          <w:p w14:paraId="3D1770EF">
            <w:pPr>
              <w:rPr>
                <w:rFonts w:ascii="宋体" w:hAnsi="宋体" w:cs="宋体"/>
                <w:color w:val="auto"/>
                <w:kern w:val="0"/>
              </w:rPr>
            </w:pPr>
          </w:p>
        </w:tc>
        <w:tc>
          <w:tcPr>
            <w:tcW w:w="4384" w:type="dxa"/>
            <w:vMerge w:val="continue"/>
            <w:noWrap w:val="0"/>
            <w:vAlign w:val="center"/>
          </w:tcPr>
          <w:p w14:paraId="2379966E">
            <w:pPr>
              <w:widowControl/>
              <w:adjustRightInd w:val="0"/>
              <w:snapToGrid w:val="0"/>
              <w:spacing w:before="100" w:beforeAutospacing="1" w:after="100" w:afterAutospacing="1"/>
              <w:rPr>
                <w:rFonts w:ascii="宋体" w:hAnsi="宋体" w:cs="宋体"/>
                <w:color w:val="auto"/>
                <w:kern w:val="0"/>
              </w:rPr>
            </w:pPr>
          </w:p>
        </w:tc>
      </w:tr>
      <w:tr w14:paraId="36D7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0" w:type="auto"/>
            <w:vMerge w:val="continue"/>
            <w:noWrap w:val="0"/>
            <w:vAlign w:val="center"/>
          </w:tcPr>
          <w:p w14:paraId="4FBFBBF0">
            <w:pPr>
              <w:widowControl/>
              <w:adjustRightInd w:val="0"/>
              <w:snapToGrid w:val="0"/>
              <w:spacing w:before="100" w:beforeAutospacing="1" w:after="100" w:afterAutospacing="1"/>
              <w:rPr>
                <w:rFonts w:ascii="宋体" w:hAnsi="宋体" w:cs="宋体"/>
                <w:b/>
                <w:color w:val="auto"/>
                <w:kern w:val="0"/>
                <w:sz w:val="24"/>
              </w:rPr>
            </w:pPr>
          </w:p>
        </w:tc>
        <w:tc>
          <w:tcPr>
            <w:tcW w:w="0" w:type="auto"/>
            <w:noWrap w:val="0"/>
            <w:vAlign w:val="center"/>
          </w:tcPr>
          <w:p w14:paraId="3D784ECB">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b/>
                <w:color w:val="auto"/>
                <w:sz w:val="24"/>
              </w:rPr>
              <w:t>道德品行</w:t>
            </w:r>
          </w:p>
        </w:tc>
        <w:tc>
          <w:tcPr>
            <w:tcW w:w="2464" w:type="dxa"/>
            <w:noWrap w:val="0"/>
            <w:vAlign w:val="center"/>
          </w:tcPr>
          <w:p w14:paraId="58BB0E04">
            <w:pPr>
              <w:rPr>
                <w:rFonts w:ascii="宋体" w:hAnsi="宋体" w:cs="宋体"/>
                <w:bCs w:val="0"/>
                <w:color w:val="auto"/>
                <w:kern w:val="0"/>
              </w:rPr>
            </w:pPr>
            <w:r>
              <w:rPr>
                <w:rFonts w:hint="eastAsia" w:ascii="宋体" w:hAnsi="宋体" w:cs="宋体"/>
                <w:color w:val="auto"/>
                <w:kern w:val="0"/>
              </w:rPr>
              <w:t>1）诚实守信；2）注重文明礼仪；3）遵纪守法；4）遵守学校管理制度；5）在助</w:t>
            </w:r>
            <w:r>
              <w:rPr>
                <w:rFonts w:ascii="宋体" w:hAnsi="宋体" w:cs="宋体"/>
                <w:color w:val="auto"/>
                <w:kern w:val="0"/>
              </w:rPr>
              <w:t>人为乐、拾金不昧</w:t>
            </w:r>
            <w:r>
              <w:rPr>
                <w:rFonts w:hint="eastAsia" w:ascii="宋体" w:hAnsi="宋体" w:cs="宋体"/>
                <w:color w:val="auto"/>
                <w:kern w:val="0"/>
              </w:rPr>
              <w:t>、见义勇为、孝老爱亲等方面表现突出；6）严格要求自己，具有较好的自我管理能力</w:t>
            </w:r>
          </w:p>
        </w:tc>
        <w:tc>
          <w:tcPr>
            <w:tcW w:w="5341" w:type="dxa"/>
            <w:noWrap w:val="0"/>
            <w:vAlign w:val="center"/>
          </w:tcPr>
          <w:p w14:paraId="2A6C5AAF">
            <w:pPr>
              <w:widowControl/>
              <w:adjustRightInd w:val="0"/>
              <w:snapToGrid w:val="0"/>
              <w:spacing w:before="100" w:beforeAutospacing="1" w:after="100" w:afterAutospacing="1"/>
              <w:rPr>
                <w:rFonts w:hint="eastAsia" w:ascii="宋体" w:hAnsi="宋体" w:cs="宋体"/>
                <w:color w:val="auto"/>
                <w:kern w:val="0"/>
              </w:rPr>
            </w:pPr>
          </w:p>
          <w:p w14:paraId="6D5CC491">
            <w:pPr>
              <w:widowControl/>
              <w:adjustRightInd w:val="0"/>
              <w:snapToGrid w:val="0"/>
              <w:spacing w:before="100" w:beforeAutospacing="1" w:after="100" w:afterAutospacing="1"/>
              <w:rPr>
                <w:rFonts w:hint="eastAsia" w:ascii="宋体" w:hAnsi="宋体" w:cs="宋体"/>
                <w:color w:val="auto"/>
                <w:kern w:val="0"/>
              </w:rPr>
            </w:pPr>
          </w:p>
          <w:p w14:paraId="1BC2AE58">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见义勇为、好人好事等受到有关部门表彰者，全国(3.0)，省（2.0）、市（</w:t>
            </w:r>
            <w:r>
              <w:rPr>
                <w:rFonts w:ascii="宋体" w:hAnsi="宋体" w:cs="宋体"/>
                <w:color w:val="auto"/>
                <w:kern w:val="0"/>
              </w:rPr>
              <w:t>1.</w:t>
            </w:r>
            <w:r>
              <w:rPr>
                <w:rFonts w:hint="eastAsia" w:ascii="宋体" w:hAnsi="宋体" w:cs="宋体"/>
                <w:color w:val="auto"/>
                <w:kern w:val="0"/>
              </w:rPr>
              <w:t>5）、校（1.0）、院系(</w:t>
            </w:r>
            <w:r>
              <w:rPr>
                <w:rFonts w:ascii="宋体" w:hAnsi="宋体" w:cs="宋体"/>
                <w:color w:val="auto"/>
                <w:kern w:val="0"/>
              </w:rPr>
              <w:t>0.</w:t>
            </w:r>
            <w:r>
              <w:rPr>
                <w:rFonts w:hint="eastAsia" w:ascii="宋体" w:hAnsi="宋体" w:cs="宋体"/>
                <w:color w:val="auto"/>
                <w:kern w:val="0"/>
              </w:rPr>
              <w:t>8)。</w:t>
            </w:r>
          </w:p>
          <w:p w14:paraId="0F0ADDC2">
            <w:pPr>
              <w:widowControl/>
              <w:adjustRightInd w:val="0"/>
              <w:snapToGrid w:val="0"/>
              <w:spacing w:before="100" w:beforeAutospacing="1" w:after="100" w:afterAutospacing="1"/>
              <w:rPr>
                <w:rFonts w:hint="eastAsia" w:ascii="宋体" w:hAnsi="宋体" w:cs="宋体"/>
                <w:color w:val="auto"/>
                <w:kern w:val="0"/>
              </w:rPr>
            </w:pPr>
          </w:p>
          <w:p w14:paraId="4137DC79">
            <w:pPr>
              <w:widowControl/>
              <w:adjustRightInd w:val="0"/>
              <w:snapToGrid w:val="0"/>
              <w:spacing w:before="100" w:beforeAutospacing="1" w:after="100" w:afterAutospacing="1"/>
              <w:rPr>
                <w:rFonts w:hint="eastAsia" w:ascii="宋体" w:hAnsi="宋体" w:cs="宋体"/>
                <w:color w:val="auto"/>
                <w:kern w:val="0"/>
              </w:rPr>
            </w:pPr>
          </w:p>
        </w:tc>
        <w:tc>
          <w:tcPr>
            <w:tcW w:w="1056" w:type="dxa"/>
            <w:noWrap w:val="0"/>
            <w:vAlign w:val="center"/>
          </w:tcPr>
          <w:p w14:paraId="3C16245E">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0.8-3.0</w:t>
            </w:r>
          </w:p>
        </w:tc>
        <w:tc>
          <w:tcPr>
            <w:tcW w:w="975" w:type="dxa"/>
            <w:vMerge w:val="continue"/>
            <w:noWrap w:val="0"/>
            <w:vAlign w:val="center"/>
          </w:tcPr>
          <w:p w14:paraId="72ACAE99">
            <w:pPr>
              <w:rPr>
                <w:rFonts w:ascii="宋体" w:hAnsi="宋体" w:cs="宋体"/>
                <w:color w:val="auto"/>
                <w:kern w:val="0"/>
              </w:rPr>
            </w:pPr>
          </w:p>
        </w:tc>
        <w:tc>
          <w:tcPr>
            <w:tcW w:w="4384" w:type="dxa"/>
            <w:noWrap w:val="0"/>
            <w:vAlign w:val="center"/>
          </w:tcPr>
          <w:p w14:paraId="43DE40A4">
            <w:pPr>
              <w:widowControl/>
              <w:tabs>
                <w:tab w:val="left" w:pos="540"/>
              </w:tabs>
              <w:adjustRightInd w:val="0"/>
              <w:snapToGrid w:val="0"/>
              <w:rPr>
                <w:rFonts w:hint="eastAsia" w:ascii="宋体" w:hAnsi="宋体" w:cs="宋体"/>
                <w:color w:val="auto"/>
                <w:kern w:val="0"/>
              </w:rPr>
            </w:pPr>
            <w:r>
              <w:rPr>
                <w:rFonts w:hint="eastAsia" w:ascii="宋体" w:hAnsi="宋体" w:cs="宋体"/>
                <w:color w:val="auto"/>
                <w:kern w:val="0"/>
              </w:rPr>
              <w:t>1、本项所指的表彰，原则上需单独由政府机构、学校、学院颁发。</w:t>
            </w:r>
          </w:p>
          <w:p w14:paraId="2C723D37">
            <w:pPr>
              <w:widowControl/>
              <w:tabs>
                <w:tab w:val="left" w:pos="540"/>
              </w:tabs>
              <w:adjustRightInd w:val="0"/>
              <w:snapToGrid w:val="0"/>
              <w:rPr>
                <w:rFonts w:ascii="宋体" w:hAnsi="宋体" w:cs="宋体"/>
                <w:b/>
                <w:bCs w:val="0"/>
                <w:color w:val="auto"/>
                <w:kern w:val="0"/>
              </w:rPr>
            </w:pPr>
            <w:r>
              <w:rPr>
                <w:rFonts w:hint="eastAsia" w:ascii="宋体" w:hAnsi="宋体" w:cs="宋体"/>
                <w:b/>
                <w:bCs w:val="0"/>
                <w:color w:val="auto"/>
                <w:kern w:val="0"/>
              </w:rPr>
              <w:t>2、“道德品行”加分上限3分，累计3分以上按3分计。</w:t>
            </w:r>
          </w:p>
        </w:tc>
      </w:tr>
      <w:tr w14:paraId="46FF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085AF9A4">
            <w:pPr>
              <w:widowControl/>
              <w:adjustRightInd w:val="0"/>
              <w:snapToGrid w:val="0"/>
              <w:spacing w:before="100" w:beforeAutospacing="1" w:after="100" w:afterAutospacing="1"/>
              <w:rPr>
                <w:rFonts w:ascii="宋体" w:hAnsi="宋体" w:cs="宋体"/>
                <w:b/>
                <w:color w:val="auto"/>
                <w:kern w:val="0"/>
                <w:sz w:val="24"/>
              </w:rPr>
            </w:pPr>
          </w:p>
        </w:tc>
        <w:tc>
          <w:tcPr>
            <w:tcW w:w="0" w:type="auto"/>
            <w:vMerge w:val="restart"/>
            <w:noWrap w:val="0"/>
            <w:vAlign w:val="center"/>
          </w:tcPr>
          <w:p w14:paraId="565FAA23">
            <w:pPr>
              <w:widowControl/>
              <w:adjustRightInd w:val="0"/>
              <w:snapToGrid w:val="0"/>
              <w:spacing w:before="100" w:beforeAutospacing="1" w:after="100" w:afterAutospacing="1"/>
              <w:rPr>
                <w:rFonts w:ascii="宋体" w:hAnsi="宋体" w:cs="宋体"/>
                <w:b/>
                <w:bCs w:val="0"/>
                <w:color w:val="auto"/>
                <w:kern w:val="0"/>
                <w:sz w:val="24"/>
              </w:rPr>
            </w:pPr>
            <w:r>
              <w:rPr>
                <w:rFonts w:hint="eastAsia" w:ascii="宋体" w:hAnsi="宋体" w:cs="宋体"/>
                <w:b/>
                <w:color w:val="auto"/>
                <w:kern w:val="0"/>
                <w:sz w:val="24"/>
              </w:rPr>
              <w:t>专业素养</w:t>
            </w:r>
          </w:p>
        </w:tc>
        <w:tc>
          <w:tcPr>
            <w:tcW w:w="2464" w:type="dxa"/>
            <w:vMerge w:val="restart"/>
            <w:noWrap w:val="0"/>
            <w:vAlign w:val="center"/>
          </w:tcPr>
          <w:p w14:paraId="4865DEED">
            <w:pPr>
              <w:rPr>
                <w:rFonts w:ascii="宋体" w:hAnsi="宋体" w:cs="宋体"/>
                <w:bCs w:val="0"/>
                <w:color w:val="auto"/>
                <w:kern w:val="0"/>
              </w:rPr>
            </w:pPr>
            <w:r>
              <w:rPr>
                <w:rFonts w:hint="eastAsia" w:ascii="宋体" w:hAnsi="宋体" w:cs="宋体"/>
                <w:color w:val="auto"/>
                <w:kern w:val="0"/>
              </w:rPr>
              <w:t>1）发表学术作品（论文、著作）；</w:t>
            </w:r>
          </w:p>
          <w:p w14:paraId="2228DCA6">
            <w:pPr>
              <w:rPr>
                <w:rFonts w:hint="eastAsia" w:ascii="宋体" w:hAnsi="宋体" w:cs="宋体"/>
                <w:bCs w:val="0"/>
                <w:color w:val="auto"/>
                <w:kern w:val="0"/>
              </w:rPr>
            </w:pPr>
            <w:r>
              <w:rPr>
                <w:rFonts w:hint="eastAsia" w:ascii="宋体" w:hAnsi="宋体" w:cs="宋体"/>
                <w:color w:val="auto"/>
                <w:kern w:val="0"/>
              </w:rPr>
              <w:t>2）专利发明等；</w:t>
            </w:r>
          </w:p>
          <w:p w14:paraId="4FB59672">
            <w:pPr>
              <w:rPr>
                <w:rFonts w:hint="eastAsia" w:ascii="宋体" w:hAnsi="宋体" w:cs="宋体"/>
                <w:bCs w:val="0"/>
                <w:color w:val="auto"/>
                <w:kern w:val="0"/>
              </w:rPr>
            </w:pPr>
            <w:r>
              <w:rPr>
                <w:rFonts w:hint="eastAsia" w:ascii="宋体" w:hAnsi="宋体" w:cs="宋体"/>
                <w:color w:val="auto"/>
                <w:kern w:val="0"/>
              </w:rPr>
              <w:t>3）参与学术科技竞赛或知识竞赛；</w:t>
            </w:r>
          </w:p>
          <w:p w14:paraId="6423B8FB">
            <w:pPr>
              <w:rPr>
                <w:rFonts w:ascii="宋体" w:hAnsi="宋体" w:cs="宋体"/>
                <w:bCs w:val="0"/>
                <w:color w:val="auto"/>
                <w:kern w:val="0"/>
              </w:rPr>
            </w:pPr>
          </w:p>
        </w:tc>
        <w:tc>
          <w:tcPr>
            <w:tcW w:w="5341" w:type="dxa"/>
            <w:noWrap w:val="0"/>
            <w:vAlign w:val="center"/>
          </w:tcPr>
          <w:p w14:paraId="7E1BB4EE">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获国际级大学生学术科技竞赛及学科知识竞赛一、二、三等奖分别为</w:t>
            </w:r>
            <w:r>
              <w:rPr>
                <w:rFonts w:ascii="宋体" w:hAnsi="宋体" w:cs="宋体"/>
                <w:color w:val="auto"/>
                <w:kern w:val="0"/>
              </w:rPr>
              <w:t>3</w:t>
            </w:r>
            <w:r>
              <w:rPr>
                <w:rFonts w:hint="eastAsia" w:ascii="宋体" w:hAnsi="宋体" w:cs="宋体"/>
                <w:color w:val="auto"/>
                <w:kern w:val="0"/>
              </w:rPr>
              <w:t>.5、3、</w:t>
            </w:r>
            <w:r>
              <w:rPr>
                <w:rFonts w:ascii="宋体" w:hAnsi="宋体" w:cs="宋体"/>
                <w:color w:val="auto"/>
                <w:kern w:val="0"/>
              </w:rPr>
              <w:t>2.5</w:t>
            </w:r>
            <w:r>
              <w:rPr>
                <w:rFonts w:hint="eastAsia" w:ascii="宋体" w:hAnsi="宋体" w:cs="宋体"/>
                <w:color w:val="auto"/>
                <w:kern w:val="0"/>
              </w:rPr>
              <w:t>，优胜奖</w:t>
            </w:r>
            <w:r>
              <w:rPr>
                <w:rFonts w:ascii="宋体" w:hAnsi="宋体" w:cs="宋体"/>
                <w:color w:val="auto"/>
                <w:kern w:val="0"/>
              </w:rPr>
              <w:t>2.0</w:t>
            </w:r>
            <w:r>
              <w:rPr>
                <w:rFonts w:hint="eastAsia" w:ascii="宋体" w:hAnsi="宋体" w:cs="宋体"/>
                <w:color w:val="auto"/>
                <w:kern w:val="0"/>
              </w:rPr>
              <w:t>。</w:t>
            </w:r>
          </w:p>
        </w:tc>
        <w:tc>
          <w:tcPr>
            <w:tcW w:w="1056" w:type="dxa"/>
            <w:vMerge w:val="restart"/>
            <w:noWrap w:val="0"/>
            <w:vAlign w:val="center"/>
          </w:tcPr>
          <w:p w14:paraId="7D7AF4C8">
            <w:pPr>
              <w:adjustRightInd w:val="0"/>
              <w:snapToGrid w:val="0"/>
              <w:spacing w:before="100" w:beforeAutospacing="1" w:after="100" w:afterAutospacing="1"/>
              <w:ind w:right="105"/>
              <w:rPr>
                <w:rFonts w:ascii="宋体" w:hAnsi="宋体" w:cs="宋体"/>
                <w:color w:val="auto"/>
                <w:kern w:val="0"/>
              </w:rPr>
            </w:pPr>
            <w:r>
              <w:rPr>
                <w:rFonts w:hint="eastAsia" w:ascii="宋体" w:hAnsi="宋体" w:cs="宋体"/>
                <w:color w:val="auto"/>
                <w:kern w:val="0"/>
              </w:rPr>
              <w:t>0.1-3.5</w:t>
            </w:r>
          </w:p>
        </w:tc>
        <w:tc>
          <w:tcPr>
            <w:tcW w:w="975" w:type="dxa"/>
            <w:vMerge w:val="continue"/>
            <w:noWrap w:val="0"/>
            <w:vAlign w:val="center"/>
          </w:tcPr>
          <w:p w14:paraId="6E4F3789">
            <w:pPr>
              <w:rPr>
                <w:rFonts w:ascii="宋体" w:hAnsi="宋体" w:cs="宋体"/>
                <w:color w:val="auto"/>
                <w:kern w:val="0"/>
              </w:rPr>
            </w:pPr>
          </w:p>
        </w:tc>
        <w:tc>
          <w:tcPr>
            <w:tcW w:w="4384" w:type="dxa"/>
            <w:vMerge w:val="restart"/>
            <w:noWrap w:val="0"/>
            <w:vAlign w:val="center"/>
          </w:tcPr>
          <w:p w14:paraId="43C05321">
            <w:pPr>
              <w:widowControl/>
              <w:tabs>
                <w:tab w:val="left" w:pos="540"/>
              </w:tabs>
              <w:adjustRightInd w:val="0"/>
              <w:snapToGrid w:val="0"/>
              <w:rPr>
                <w:rFonts w:hint="default" w:ascii="宋体" w:hAnsi="宋体" w:eastAsia="宋体" w:cs="宋体"/>
                <w:bCs w:val="0"/>
                <w:color w:val="auto"/>
                <w:kern w:val="0"/>
                <w:lang w:val="en-US" w:eastAsia="zh-CN"/>
              </w:rPr>
            </w:pPr>
            <w:r>
              <w:rPr>
                <w:rFonts w:hint="eastAsia" w:ascii="宋体" w:hAnsi="宋体" w:cs="宋体"/>
                <w:color w:val="auto"/>
                <w:kern w:val="0"/>
              </w:rPr>
              <w:t>1、本类别所指的学科竞赛及科研成果都是与本专业学习相关的；科研成果包括：科研论文、专利、科研作品。学术作品</w:t>
            </w:r>
            <w:r>
              <w:rPr>
                <w:rFonts w:hint="eastAsia" w:ascii="宋体" w:hAnsi="宋体" w:cs="宋体"/>
                <w:color w:val="auto"/>
                <w:kern w:val="0"/>
                <w:lang w:eastAsia="zh-CN"/>
              </w:rPr>
              <w:t>、</w:t>
            </w:r>
            <w:r>
              <w:rPr>
                <w:rFonts w:hint="eastAsia" w:ascii="宋体" w:hAnsi="宋体" w:cs="宋体"/>
                <w:color w:val="auto"/>
                <w:kern w:val="0"/>
                <w:lang w:val="en-US" w:eastAsia="zh-CN"/>
              </w:rPr>
              <w:t>专利、竞赛获奖等第一完成单位须为中山大学。</w:t>
            </w:r>
          </w:p>
          <w:p w14:paraId="58D84938">
            <w:pPr>
              <w:widowControl/>
              <w:tabs>
                <w:tab w:val="left" w:pos="540"/>
              </w:tabs>
              <w:adjustRightInd w:val="0"/>
              <w:snapToGrid w:val="0"/>
              <w:rPr>
                <w:rFonts w:hint="eastAsia" w:ascii="宋体" w:hAnsi="宋体" w:cs="宋体"/>
                <w:bCs w:val="0"/>
                <w:color w:val="auto"/>
                <w:kern w:val="0"/>
              </w:rPr>
            </w:pPr>
            <w:r>
              <w:rPr>
                <w:rFonts w:hint="eastAsia" w:ascii="宋体" w:hAnsi="宋体" w:cs="宋体"/>
                <w:color w:val="auto"/>
                <w:kern w:val="0"/>
              </w:rPr>
              <w:t>2、不同竞赛可累加计分，但不能超过3项。</w:t>
            </w:r>
          </w:p>
          <w:p w14:paraId="1C7F769A">
            <w:pPr>
              <w:widowControl/>
              <w:tabs>
                <w:tab w:val="left" w:pos="540"/>
              </w:tabs>
              <w:adjustRightInd w:val="0"/>
              <w:snapToGrid w:val="0"/>
              <w:rPr>
                <w:rFonts w:hint="eastAsia" w:ascii="宋体" w:hAnsi="宋体" w:cs="宋体"/>
                <w:bCs w:val="0"/>
                <w:color w:val="auto"/>
                <w:kern w:val="0"/>
              </w:rPr>
            </w:pPr>
            <w:r>
              <w:rPr>
                <w:rFonts w:hint="eastAsia" w:ascii="宋体" w:hAnsi="宋体" w:cs="宋体"/>
                <w:color w:val="auto"/>
                <w:kern w:val="0"/>
              </w:rPr>
              <w:t>3、同一科研成果获不同奖，只记最高分，不累加；不同科研成果获奖或发表论文(文章)，可累加。</w:t>
            </w:r>
          </w:p>
          <w:p w14:paraId="44558D78">
            <w:pPr>
              <w:widowControl/>
              <w:adjustRightInd w:val="0"/>
              <w:snapToGrid w:val="0"/>
              <w:rPr>
                <w:rFonts w:hint="eastAsia" w:ascii="宋体" w:hAnsi="宋体" w:cs="宋体"/>
                <w:bCs w:val="0"/>
                <w:color w:val="auto"/>
                <w:kern w:val="0"/>
              </w:rPr>
            </w:pPr>
            <w:r>
              <w:rPr>
                <w:rFonts w:hint="eastAsia" w:ascii="宋体" w:hAnsi="宋体" w:cs="宋体"/>
                <w:color w:val="auto"/>
                <w:kern w:val="0"/>
              </w:rPr>
              <w:t>4、“著书”栏中所著书籍应已正式公开出版发行。</w:t>
            </w:r>
          </w:p>
          <w:p w14:paraId="231E5ADA">
            <w:pPr>
              <w:widowControl/>
              <w:tabs>
                <w:tab w:val="left" w:pos="797"/>
              </w:tabs>
              <w:adjustRightInd w:val="0"/>
              <w:snapToGrid w:val="0"/>
              <w:rPr>
                <w:rFonts w:hint="eastAsia" w:ascii="宋体" w:hAnsi="宋体" w:cs="宋体"/>
                <w:bCs w:val="0"/>
                <w:color w:val="auto"/>
                <w:kern w:val="0"/>
              </w:rPr>
            </w:pPr>
            <w:r>
              <w:rPr>
                <w:rFonts w:hint="eastAsia" w:ascii="宋体" w:hAnsi="宋体" w:cs="宋体"/>
                <w:color w:val="auto"/>
                <w:kern w:val="0"/>
              </w:rPr>
              <w:t>5、所有加分或参赛必须提供书面有效证明（专利证书、获奖证书、论文发表的录用通知和论文首页）。</w:t>
            </w:r>
          </w:p>
          <w:p w14:paraId="20FC4206">
            <w:pPr>
              <w:widowControl/>
              <w:tabs>
                <w:tab w:val="left" w:pos="540"/>
              </w:tabs>
              <w:adjustRightInd w:val="0"/>
              <w:snapToGrid w:val="0"/>
              <w:rPr>
                <w:rFonts w:hint="eastAsia" w:ascii="宋体" w:hAnsi="宋体" w:cs="宋体"/>
                <w:b/>
                <w:bCs w:val="0"/>
                <w:color w:val="auto"/>
                <w:kern w:val="0"/>
              </w:rPr>
            </w:pPr>
            <w:r>
              <w:rPr>
                <w:rFonts w:hint="eastAsia" w:ascii="宋体" w:hAnsi="宋体" w:cs="宋体"/>
                <w:color w:val="auto"/>
                <w:kern w:val="0"/>
              </w:rPr>
              <w:t>6、学习竞赛的级别由学院组织专任教师拟定</w:t>
            </w:r>
            <w:r>
              <w:rPr>
                <w:rFonts w:hint="eastAsia" w:ascii="宋体" w:hAnsi="宋体" w:cs="宋体"/>
                <w:b/>
                <w:color w:val="auto"/>
                <w:kern w:val="0"/>
              </w:rPr>
              <w:t>主要学生科技竞赛类别和等级，参考附件“主要学生科技竞赛列表”</w:t>
            </w:r>
            <w:r>
              <w:rPr>
                <w:rFonts w:hint="eastAsia" w:ascii="宋体" w:hAnsi="宋体" w:cs="宋体"/>
                <w:color w:val="auto"/>
                <w:kern w:val="0"/>
              </w:rPr>
              <w:t>。</w:t>
            </w:r>
          </w:p>
          <w:p w14:paraId="2841D699">
            <w:pPr>
              <w:widowControl/>
              <w:adjustRightInd w:val="0"/>
              <w:snapToGrid w:val="0"/>
              <w:rPr>
                <w:rFonts w:hint="eastAsia" w:ascii="宋体" w:hAnsi="宋体" w:cs="宋体"/>
                <w:color w:val="auto"/>
                <w:kern w:val="0"/>
                <w:lang w:val="en-US" w:eastAsia="zh-CN"/>
              </w:rPr>
            </w:pPr>
            <w:r>
              <w:rPr>
                <w:rFonts w:hint="eastAsia" w:ascii="宋体" w:hAnsi="宋体" w:cs="宋体"/>
                <w:color w:val="auto"/>
                <w:kern w:val="0"/>
              </w:rPr>
              <w:t>7、作者排序为除导师外的学生排序</w:t>
            </w:r>
            <w:r>
              <w:rPr>
                <w:rFonts w:hint="eastAsia" w:ascii="宋体" w:hAnsi="宋体" w:cs="宋体"/>
                <w:color w:val="auto"/>
                <w:kern w:val="0"/>
                <w:lang w:eastAsia="zh-CN"/>
              </w:rPr>
              <w:t>，</w:t>
            </w:r>
            <w:r>
              <w:rPr>
                <w:rFonts w:hint="eastAsia" w:ascii="宋体" w:hAnsi="宋体" w:cs="宋体"/>
                <w:color w:val="auto"/>
                <w:kern w:val="0"/>
                <w:lang w:val="en-US" w:eastAsia="zh-CN"/>
              </w:rPr>
              <w:t>且必须为所有作者</w:t>
            </w:r>
            <w:r>
              <w:rPr>
                <w:rFonts w:hint="eastAsia" w:ascii="宋体" w:hAnsi="宋体" w:cs="宋体"/>
                <w:color w:val="auto"/>
                <w:kern w:val="0"/>
              </w:rPr>
              <w:t>排序</w:t>
            </w:r>
            <w:r>
              <w:rPr>
                <w:rFonts w:hint="eastAsia" w:ascii="宋体" w:hAnsi="宋体" w:cs="宋体"/>
                <w:color w:val="auto"/>
                <w:kern w:val="0"/>
                <w:lang w:val="en-US" w:eastAsia="zh-CN"/>
              </w:rPr>
              <w:t>的</w:t>
            </w:r>
            <w:r>
              <w:rPr>
                <w:rFonts w:hint="eastAsia" w:ascii="宋体" w:hAnsi="宋体" w:cs="宋体"/>
                <w:color w:val="auto"/>
                <w:kern w:val="0"/>
              </w:rPr>
              <w:t>前3作</w:t>
            </w:r>
            <w:r>
              <w:rPr>
                <w:rFonts w:hint="eastAsia" w:ascii="宋体" w:hAnsi="宋体" w:cs="宋体"/>
                <w:color w:val="auto"/>
                <w:kern w:val="0"/>
                <w:lang w:eastAsia="zh-CN"/>
              </w:rPr>
              <w:t>。</w:t>
            </w:r>
            <w:r>
              <w:rPr>
                <w:rFonts w:hint="eastAsia" w:ascii="宋体" w:hAnsi="宋体" w:cs="宋体"/>
                <w:color w:val="auto"/>
                <w:kern w:val="0"/>
                <w:lang w:val="en-US" w:eastAsia="zh-CN"/>
              </w:rPr>
              <w:t>论文等级以CCF和中科院最新公布的文件为准。</w:t>
            </w:r>
          </w:p>
          <w:p w14:paraId="37DA390F"/>
          <w:p w14:paraId="309C934F">
            <w:pPr>
              <w:rPr>
                <w:rFonts w:hint="eastAsia" w:ascii="宋体" w:hAnsi="宋体"/>
                <w:b/>
                <w:color w:val="auto"/>
              </w:rPr>
            </w:pPr>
            <w:r>
              <w:rPr>
                <w:rFonts w:ascii="宋体" w:hAnsi="宋体"/>
                <w:b/>
                <w:color w:val="auto"/>
              </w:rPr>
              <w:t>8</w:t>
            </w:r>
            <w:r>
              <w:rPr>
                <w:rFonts w:hint="eastAsia" w:ascii="宋体" w:hAnsi="宋体"/>
                <w:b/>
                <w:color w:val="auto"/>
              </w:rPr>
              <w:t>、“专业素养”加分上限为4分,累计4分以上按4分计算。</w:t>
            </w:r>
          </w:p>
          <w:p w14:paraId="7FAA769A">
            <w:pPr>
              <w:rPr>
                <w:rFonts w:hint="eastAsia" w:ascii="宋体" w:hAnsi="宋体"/>
                <w:b/>
                <w:color w:val="auto"/>
              </w:rPr>
            </w:pPr>
          </w:p>
          <w:p w14:paraId="22A8BB41">
            <w:pPr>
              <w:rPr>
                <w:rFonts w:ascii="宋体" w:hAnsi="宋体"/>
                <w:color w:val="auto"/>
              </w:rPr>
            </w:pPr>
          </w:p>
        </w:tc>
      </w:tr>
      <w:tr w14:paraId="7191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341E7AF9">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552C3CEB">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7A2C09D4">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0A3CB895">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获国家级大学生学术科技竞赛及学科知识一、二、三等奖分别为3、2.6、2.2，优胜奖</w:t>
            </w:r>
            <w:r>
              <w:rPr>
                <w:rFonts w:ascii="宋体" w:hAnsi="宋体" w:cs="宋体"/>
                <w:color w:val="auto"/>
                <w:kern w:val="0"/>
              </w:rPr>
              <w:t>1.</w:t>
            </w:r>
            <w:r>
              <w:rPr>
                <w:rFonts w:hint="eastAsia" w:ascii="宋体" w:hAnsi="宋体" w:cs="宋体"/>
                <w:color w:val="auto"/>
                <w:kern w:val="0"/>
              </w:rPr>
              <w:t>8。</w:t>
            </w:r>
          </w:p>
        </w:tc>
        <w:tc>
          <w:tcPr>
            <w:tcW w:w="1056" w:type="dxa"/>
            <w:vMerge w:val="continue"/>
            <w:noWrap w:val="0"/>
            <w:vAlign w:val="center"/>
          </w:tcPr>
          <w:p w14:paraId="2BDF8A77">
            <w:pPr>
              <w:adjustRightInd w:val="0"/>
              <w:snapToGrid w:val="0"/>
              <w:spacing w:before="100" w:beforeAutospacing="1" w:after="100" w:afterAutospacing="1"/>
              <w:ind w:right="105"/>
              <w:rPr>
                <w:rFonts w:ascii="宋体" w:hAnsi="宋体" w:cs="宋体"/>
                <w:bCs w:val="0"/>
                <w:color w:val="auto"/>
                <w:kern w:val="0"/>
              </w:rPr>
            </w:pPr>
          </w:p>
        </w:tc>
        <w:tc>
          <w:tcPr>
            <w:tcW w:w="975" w:type="dxa"/>
            <w:vMerge w:val="continue"/>
            <w:noWrap w:val="0"/>
            <w:vAlign w:val="center"/>
          </w:tcPr>
          <w:p w14:paraId="5AF46E3F">
            <w:pPr>
              <w:rPr>
                <w:rFonts w:ascii="宋体" w:hAnsi="宋体" w:cs="宋体"/>
                <w:color w:val="auto"/>
                <w:kern w:val="0"/>
              </w:rPr>
            </w:pPr>
          </w:p>
        </w:tc>
        <w:tc>
          <w:tcPr>
            <w:tcW w:w="4384" w:type="dxa"/>
            <w:vMerge w:val="continue"/>
            <w:noWrap w:val="0"/>
            <w:vAlign w:val="center"/>
          </w:tcPr>
          <w:p w14:paraId="2C752807">
            <w:pPr>
              <w:widowControl/>
              <w:adjustRightInd w:val="0"/>
              <w:snapToGrid w:val="0"/>
              <w:spacing w:before="100" w:beforeAutospacing="1" w:after="100" w:afterAutospacing="1"/>
              <w:rPr>
                <w:rFonts w:ascii="宋体" w:hAnsi="宋体" w:cs="宋体"/>
                <w:color w:val="auto"/>
                <w:kern w:val="0"/>
              </w:rPr>
            </w:pPr>
          </w:p>
        </w:tc>
      </w:tr>
      <w:tr w14:paraId="5C27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1F0A3AB2">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69920402">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51F2E13D">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0D7FD6D2">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获省级大学生学术科技竞赛及学科知识一、二、三等奖分别为2、1.6、1.2,优胜奖</w:t>
            </w:r>
            <w:r>
              <w:rPr>
                <w:rFonts w:ascii="宋体" w:hAnsi="宋体" w:cs="宋体"/>
                <w:color w:val="auto"/>
                <w:kern w:val="0"/>
              </w:rPr>
              <w:t>0.</w:t>
            </w:r>
            <w:r>
              <w:rPr>
                <w:rFonts w:hint="eastAsia" w:ascii="宋体" w:hAnsi="宋体" w:cs="宋体"/>
                <w:color w:val="auto"/>
                <w:kern w:val="0"/>
              </w:rPr>
              <w:t>8。</w:t>
            </w:r>
          </w:p>
        </w:tc>
        <w:tc>
          <w:tcPr>
            <w:tcW w:w="1056" w:type="dxa"/>
            <w:vMerge w:val="continue"/>
            <w:noWrap w:val="0"/>
            <w:vAlign w:val="center"/>
          </w:tcPr>
          <w:p w14:paraId="04C781AF">
            <w:pPr>
              <w:adjustRightInd w:val="0"/>
              <w:snapToGrid w:val="0"/>
              <w:spacing w:before="100" w:beforeAutospacing="1" w:after="100" w:afterAutospacing="1"/>
              <w:ind w:right="105"/>
              <w:rPr>
                <w:rFonts w:ascii="宋体" w:hAnsi="宋体" w:cs="宋体"/>
                <w:bCs w:val="0"/>
                <w:color w:val="auto"/>
                <w:kern w:val="0"/>
              </w:rPr>
            </w:pPr>
          </w:p>
        </w:tc>
        <w:tc>
          <w:tcPr>
            <w:tcW w:w="975" w:type="dxa"/>
            <w:vMerge w:val="continue"/>
            <w:noWrap w:val="0"/>
            <w:vAlign w:val="center"/>
          </w:tcPr>
          <w:p w14:paraId="593A0B29">
            <w:pPr>
              <w:rPr>
                <w:rFonts w:ascii="宋体" w:hAnsi="宋体" w:cs="宋体"/>
                <w:color w:val="auto"/>
                <w:kern w:val="0"/>
              </w:rPr>
            </w:pPr>
          </w:p>
        </w:tc>
        <w:tc>
          <w:tcPr>
            <w:tcW w:w="4384" w:type="dxa"/>
            <w:vMerge w:val="continue"/>
            <w:noWrap w:val="0"/>
            <w:vAlign w:val="center"/>
          </w:tcPr>
          <w:p w14:paraId="3D47AC44">
            <w:pPr>
              <w:widowControl/>
              <w:adjustRightInd w:val="0"/>
              <w:snapToGrid w:val="0"/>
              <w:spacing w:before="100" w:beforeAutospacing="1" w:after="100" w:afterAutospacing="1"/>
              <w:rPr>
                <w:rFonts w:ascii="宋体" w:hAnsi="宋体" w:cs="宋体"/>
                <w:color w:val="auto"/>
                <w:kern w:val="0"/>
              </w:rPr>
            </w:pPr>
          </w:p>
        </w:tc>
      </w:tr>
      <w:tr w14:paraId="1F9A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7C47E5A5">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7C769902">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471C4B0E">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10A71249">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获校级大学生学术科技竞赛及学科知识一、二、三等奖分别为1、</w:t>
            </w:r>
            <w:r>
              <w:rPr>
                <w:rFonts w:ascii="宋体" w:hAnsi="宋体" w:cs="宋体"/>
                <w:color w:val="auto"/>
                <w:kern w:val="0"/>
              </w:rPr>
              <w:t>0.6</w:t>
            </w:r>
            <w:r>
              <w:rPr>
                <w:rFonts w:hint="eastAsia" w:ascii="宋体" w:hAnsi="宋体" w:cs="宋体"/>
                <w:color w:val="auto"/>
                <w:kern w:val="0"/>
              </w:rPr>
              <w:t>、</w:t>
            </w:r>
            <w:r>
              <w:rPr>
                <w:rFonts w:ascii="宋体" w:hAnsi="宋体" w:cs="宋体"/>
                <w:color w:val="auto"/>
                <w:kern w:val="0"/>
              </w:rPr>
              <w:t>0.4</w:t>
            </w:r>
            <w:r>
              <w:rPr>
                <w:rFonts w:hint="eastAsia" w:ascii="宋体" w:hAnsi="宋体" w:cs="宋体"/>
                <w:color w:val="auto"/>
                <w:kern w:val="0"/>
              </w:rPr>
              <w:t>,优胜奖</w:t>
            </w:r>
            <w:r>
              <w:rPr>
                <w:rFonts w:ascii="宋体" w:hAnsi="宋体" w:cs="宋体"/>
                <w:color w:val="auto"/>
                <w:kern w:val="0"/>
              </w:rPr>
              <w:t>0.2</w:t>
            </w:r>
            <w:r>
              <w:rPr>
                <w:rFonts w:hint="eastAsia" w:ascii="宋体" w:hAnsi="宋体" w:cs="宋体"/>
                <w:color w:val="auto"/>
                <w:kern w:val="0"/>
              </w:rPr>
              <w:t>。</w:t>
            </w:r>
          </w:p>
        </w:tc>
        <w:tc>
          <w:tcPr>
            <w:tcW w:w="1056" w:type="dxa"/>
            <w:vMerge w:val="continue"/>
            <w:noWrap w:val="0"/>
            <w:vAlign w:val="center"/>
          </w:tcPr>
          <w:p w14:paraId="37A19802">
            <w:pPr>
              <w:adjustRightInd w:val="0"/>
              <w:snapToGrid w:val="0"/>
              <w:spacing w:before="100" w:beforeAutospacing="1" w:after="100" w:afterAutospacing="1"/>
              <w:ind w:right="105"/>
              <w:rPr>
                <w:rFonts w:ascii="宋体" w:hAnsi="宋体" w:cs="宋体"/>
                <w:bCs w:val="0"/>
                <w:color w:val="auto"/>
                <w:kern w:val="0"/>
              </w:rPr>
            </w:pPr>
          </w:p>
        </w:tc>
        <w:tc>
          <w:tcPr>
            <w:tcW w:w="975" w:type="dxa"/>
            <w:vMerge w:val="continue"/>
            <w:noWrap w:val="0"/>
            <w:vAlign w:val="center"/>
          </w:tcPr>
          <w:p w14:paraId="79850536">
            <w:pPr>
              <w:rPr>
                <w:rFonts w:ascii="宋体" w:hAnsi="宋体" w:cs="宋体"/>
                <w:color w:val="auto"/>
                <w:kern w:val="0"/>
              </w:rPr>
            </w:pPr>
          </w:p>
        </w:tc>
        <w:tc>
          <w:tcPr>
            <w:tcW w:w="4384" w:type="dxa"/>
            <w:vMerge w:val="continue"/>
            <w:noWrap w:val="0"/>
            <w:vAlign w:val="center"/>
          </w:tcPr>
          <w:p w14:paraId="73009BEF">
            <w:pPr>
              <w:widowControl/>
              <w:adjustRightInd w:val="0"/>
              <w:snapToGrid w:val="0"/>
              <w:spacing w:before="100" w:beforeAutospacing="1" w:after="100" w:afterAutospacing="1"/>
              <w:rPr>
                <w:rFonts w:ascii="宋体" w:hAnsi="宋体" w:cs="宋体"/>
                <w:color w:val="auto"/>
                <w:kern w:val="0"/>
              </w:rPr>
            </w:pPr>
          </w:p>
        </w:tc>
      </w:tr>
      <w:tr w14:paraId="51D9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305B868B">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02A625F0">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2561C316">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22FD19D6">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 xml:space="preserve">获院级大学生学术科技竞赛及学科知识一、二、三等奖分别为 </w:t>
            </w:r>
            <w:r>
              <w:rPr>
                <w:rFonts w:ascii="宋体" w:hAnsi="宋体" w:cs="宋体"/>
                <w:color w:val="auto"/>
                <w:kern w:val="0"/>
              </w:rPr>
              <w:t>0.</w:t>
            </w:r>
            <w:r>
              <w:rPr>
                <w:rFonts w:hint="eastAsia" w:ascii="宋体" w:hAnsi="宋体" w:cs="宋体"/>
                <w:color w:val="auto"/>
                <w:kern w:val="0"/>
              </w:rPr>
              <w:t>8、</w:t>
            </w:r>
            <w:r>
              <w:rPr>
                <w:rFonts w:ascii="宋体" w:hAnsi="宋体" w:cs="宋体"/>
                <w:color w:val="auto"/>
                <w:kern w:val="0"/>
              </w:rPr>
              <w:t>0.5</w:t>
            </w:r>
            <w:r>
              <w:rPr>
                <w:rFonts w:hint="eastAsia" w:ascii="宋体" w:hAnsi="宋体" w:cs="宋体"/>
                <w:color w:val="auto"/>
                <w:kern w:val="0"/>
              </w:rPr>
              <w:t>、</w:t>
            </w:r>
            <w:r>
              <w:rPr>
                <w:rFonts w:ascii="宋体" w:hAnsi="宋体" w:cs="宋体"/>
                <w:color w:val="auto"/>
                <w:kern w:val="0"/>
              </w:rPr>
              <w:t>0.3</w:t>
            </w:r>
            <w:r>
              <w:rPr>
                <w:rFonts w:hint="eastAsia" w:ascii="宋体" w:hAnsi="宋体" w:cs="宋体"/>
                <w:color w:val="auto"/>
                <w:kern w:val="0"/>
              </w:rPr>
              <w:t>，优胜奖</w:t>
            </w:r>
            <w:r>
              <w:rPr>
                <w:rFonts w:ascii="宋体" w:hAnsi="宋体" w:cs="宋体"/>
                <w:color w:val="auto"/>
                <w:kern w:val="0"/>
              </w:rPr>
              <w:t>0.1</w:t>
            </w:r>
            <w:r>
              <w:rPr>
                <w:rFonts w:hint="eastAsia" w:ascii="宋体" w:hAnsi="宋体" w:cs="宋体"/>
                <w:color w:val="auto"/>
                <w:kern w:val="0"/>
              </w:rPr>
              <w:t>。</w:t>
            </w:r>
          </w:p>
        </w:tc>
        <w:tc>
          <w:tcPr>
            <w:tcW w:w="1056" w:type="dxa"/>
            <w:vMerge w:val="continue"/>
            <w:noWrap w:val="0"/>
            <w:vAlign w:val="center"/>
          </w:tcPr>
          <w:p w14:paraId="0338247B">
            <w:pPr>
              <w:widowControl/>
              <w:adjustRightInd w:val="0"/>
              <w:snapToGrid w:val="0"/>
              <w:spacing w:before="100" w:beforeAutospacing="1" w:after="100" w:afterAutospacing="1"/>
              <w:ind w:right="105"/>
              <w:rPr>
                <w:rFonts w:ascii="宋体" w:hAnsi="宋体" w:cs="宋体"/>
                <w:bCs w:val="0"/>
                <w:color w:val="auto"/>
                <w:kern w:val="0"/>
              </w:rPr>
            </w:pPr>
          </w:p>
        </w:tc>
        <w:tc>
          <w:tcPr>
            <w:tcW w:w="975" w:type="dxa"/>
            <w:vMerge w:val="continue"/>
            <w:noWrap w:val="0"/>
            <w:vAlign w:val="center"/>
          </w:tcPr>
          <w:p w14:paraId="22709873">
            <w:pPr>
              <w:rPr>
                <w:rFonts w:ascii="宋体" w:hAnsi="宋体" w:cs="宋体"/>
                <w:color w:val="auto"/>
                <w:kern w:val="0"/>
              </w:rPr>
            </w:pPr>
          </w:p>
        </w:tc>
        <w:tc>
          <w:tcPr>
            <w:tcW w:w="4384" w:type="dxa"/>
            <w:vMerge w:val="continue"/>
            <w:noWrap w:val="0"/>
            <w:vAlign w:val="center"/>
          </w:tcPr>
          <w:p w14:paraId="77BC142E">
            <w:pPr>
              <w:widowControl/>
              <w:adjustRightInd w:val="0"/>
              <w:snapToGrid w:val="0"/>
              <w:spacing w:before="100" w:beforeAutospacing="1" w:after="100" w:afterAutospacing="1"/>
              <w:rPr>
                <w:rFonts w:ascii="宋体" w:hAnsi="宋体" w:cs="宋体"/>
                <w:color w:val="auto"/>
                <w:kern w:val="0"/>
              </w:rPr>
            </w:pPr>
          </w:p>
        </w:tc>
      </w:tr>
      <w:tr w14:paraId="00BD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20FE4F49">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0B74030F">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6839DBBB">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2521224C"/>
          <w:p w14:paraId="7CAC9DC9">
            <w:pPr>
              <w:widowControl/>
              <w:jc w:val="left"/>
              <w:rPr>
                <w:rFonts w:hint="eastAsia" w:eastAsia="宋体"/>
                <w:color w:val="auto"/>
                <w:lang w:eastAsia="zh-CN"/>
              </w:rPr>
            </w:pPr>
            <w:r>
              <w:rPr>
                <w:rFonts w:hint="eastAsia"/>
                <w:color w:val="auto"/>
              </w:rPr>
              <w:t>学生以第一作者或第二作者在国内外高水平期刊</w:t>
            </w:r>
            <w:r>
              <w:rPr>
                <w:rFonts w:hint="eastAsia"/>
                <w:color w:val="auto"/>
                <w:lang w:val="en-US" w:eastAsia="zh-CN"/>
              </w:rPr>
              <w:t>或会议</w:t>
            </w:r>
            <w:r>
              <w:rPr>
                <w:rFonts w:hint="eastAsia"/>
                <w:color w:val="auto"/>
              </w:rPr>
              <w:t>发表论文</w:t>
            </w:r>
            <w:r>
              <w:rPr>
                <w:rFonts w:hint="eastAsia"/>
                <w:color w:val="auto"/>
                <w:lang w:eastAsia="zh-CN"/>
              </w:rPr>
              <w:t>：</w:t>
            </w:r>
          </w:p>
          <w:p w14:paraId="3E009C58">
            <w:pPr>
              <w:widowControl/>
              <w:jc w:val="left"/>
              <w:rPr>
                <w:rFonts w:hint="eastAsia" w:ascii="宋体" w:hAnsi="宋体" w:cs="宋体"/>
                <w:b/>
                <w:color w:val="auto"/>
                <w:kern w:val="0"/>
              </w:rPr>
            </w:pPr>
            <w:r>
              <w:rPr>
                <w:rFonts w:hint="eastAsia" w:ascii="宋体" w:hAnsi="宋体" w:cs="宋体"/>
                <w:b/>
                <w:color w:val="auto"/>
                <w:kern w:val="0"/>
              </w:rPr>
              <w:t>CCF-A类或中科院一区论文：第一作者3.8，第二作者1.9；</w:t>
            </w:r>
          </w:p>
          <w:p w14:paraId="3CC010FC">
            <w:pPr>
              <w:widowControl/>
              <w:jc w:val="left"/>
              <w:rPr>
                <w:rFonts w:hint="eastAsia" w:ascii="宋体" w:hAnsi="宋体" w:cs="宋体"/>
                <w:b/>
                <w:color w:val="auto"/>
                <w:kern w:val="0"/>
              </w:rPr>
            </w:pPr>
            <w:r>
              <w:rPr>
                <w:rFonts w:hint="eastAsia" w:ascii="宋体" w:hAnsi="宋体" w:cs="宋体"/>
                <w:b/>
                <w:color w:val="auto"/>
                <w:kern w:val="0"/>
              </w:rPr>
              <w:t>CCF-B类或中科院二区论文：第一作者1.9，第二作者0.9；</w:t>
            </w:r>
          </w:p>
          <w:p w14:paraId="7099E969">
            <w:r>
              <w:rPr>
                <w:rFonts w:hint="eastAsia" w:ascii="宋体" w:hAnsi="宋体" w:cs="宋体"/>
                <w:b/>
                <w:color w:val="auto"/>
                <w:kern w:val="0"/>
              </w:rPr>
              <w:t>CCF-C类或中科院三区论文：第一作者0.9，第二</w:t>
            </w:r>
            <w:r>
              <w:rPr>
                <w:rFonts w:hint="eastAsia" w:ascii="宋体" w:hAnsi="宋体" w:cs="宋体"/>
                <w:b/>
                <w:color w:val="auto"/>
                <w:kern w:val="0"/>
                <w:lang w:val="en-US" w:eastAsia="zh-CN"/>
              </w:rPr>
              <w:t>作者</w:t>
            </w:r>
            <w:r>
              <w:rPr>
                <w:rFonts w:hint="eastAsia" w:ascii="宋体" w:hAnsi="宋体" w:cs="宋体"/>
                <w:b/>
                <w:color w:val="auto"/>
                <w:kern w:val="0"/>
              </w:rPr>
              <w:t>0.4；</w:t>
            </w:r>
          </w:p>
          <w:p w14:paraId="7795F37D"/>
          <w:p w14:paraId="715236EB">
            <w:pPr>
              <w:widowControl/>
              <w:jc w:val="left"/>
              <w:rPr>
                <w:rFonts w:hint="eastAsia"/>
                <w:color w:val="auto"/>
              </w:rPr>
            </w:pPr>
          </w:p>
        </w:tc>
        <w:tc>
          <w:tcPr>
            <w:tcW w:w="1056" w:type="dxa"/>
            <w:noWrap w:val="0"/>
            <w:vAlign w:val="center"/>
          </w:tcPr>
          <w:p w14:paraId="4E5FB28D">
            <w:pPr>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0.</w:t>
            </w:r>
            <w:r>
              <w:rPr>
                <w:rFonts w:hint="eastAsia" w:ascii="宋体" w:hAnsi="宋体" w:cs="宋体"/>
                <w:color w:val="auto"/>
                <w:kern w:val="0"/>
                <w:lang w:val="en-US" w:eastAsia="zh-CN"/>
              </w:rPr>
              <w:t>4</w:t>
            </w:r>
            <w:r>
              <w:rPr>
                <w:rFonts w:hint="eastAsia" w:ascii="宋体" w:hAnsi="宋体" w:cs="宋体"/>
                <w:color w:val="auto"/>
                <w:kern w:val="0"/>
              </w:rPr>
              <w:t>-3.8</w:t>
            </w:r>
          </w:p>
        </w:tc>
        <w:tc>
          <w:tcPr>
            <w:tcW w:w="975" w:type="dxa"/>
            <w:vMerge w:val="continue"/>
            <w:noWrap w:val="0"/>
            <w:vAlign w:val="center"/>
          </w:tcPr>
          <w:p w14:paraId="3D9B7214">
            <w:pPr>
              <w:rPr>
                <w:rFonts w:ascii="宋体" w:hAnsi="宋体" w:cs="宋体"/>
                <w:color w:val="auto"/>
                <w:kern w:val="0"/>
              </w:rPr>
            </w:pPr>
          </w:p>
        </w:tc>
        <w:tc>
          <w:tcPr>
            <w:tcW w:w="4384" w:type="dxa"/>
            <w:vMerge w:val="continue"/>
            <w:noWrap w:val="0"/>
            <w:vAlign w:val="center"/>
          </w:tcPr>
          <w:p w14:paraId="14359A2B">
            <w:pPr>
              <w:widowControl/>
              <w:adjustRightInd w:val="0"/>
              <w:snapToGrid w:val="0"/>
              <w:spacing w:before="100" w:beforeAutospacing="1" w:after="100" w:afterAutospacing="1"/>
              <w:rPr>
                <w:rFonts w:ascii="宋体" w:hAnsi="宋体" w:cs="宋体"/>
                <w:color w:val="auto"/>
                <w:kern w:val="0"/>
              </w:rPr>
            </w:pPr>
          </w:p>
        </w:tc>
      </w:tr>
      <w:tr w14:paraId="73EF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7178FE9E">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5AA30323">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27B68398">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57B5DE50">
            <w:pPr>
              <w:widowControl/>
              <w:adjustRightInd w:val="0"/>
              <w:snapToGrid w:val="0"/>
              <w:rPr>
                <w:rFonts w:ascii="宋体" w:hAnsi="宋体" w:cs="宋体"/>
                <w:color w:val="auto"/>
                <w:kern w:val="0"/>
              </w:rPr>
            </w:pPr>
            <w:r>
              <w:rPr>
                <w:rFonts w:hint="eastAsia" w:ascii="宋体" w:hAnsi="宋体" w:cs="宋体"/>
                <w:color w:val="auto"/>
                <w:kern w:val="0"/>
              </w:rPr>
              <w:t>著作(第一作者)</w:t>
            </w:r>
            <w:r>
              <w:rPr>
                <w:rFonts w:ascii="宋体" w:hAnsi="宋体" w:cs="宋体"/>
                <w:color w:val="auto"/>
                <w:kern w:val="0"/>
              </w:rPr>
              <w:t>2.3</w:t>
            </w:r>
            <w:r>
              <w:rPr>
                <w:rFonts w:hint="eastAsia" w:ascii="宋体" w:hAnsi="宋体" w:cs="宋体"/>
                <w:color w:val="auto"/>
                <w:kern w:val="0"/>
              </w:rPr>
              <w:t>, 著作(第二作者)</w:t>
            </w:r>
            <w:r>
              <w:rPr>
                <w:rFonts w:ascii="宋体" w:hAnsi="宋体" w:cs="宋体"/>
                <w:color w:val="auto"/>
                <w:kern w:val="0"/>
              </w:rPr>
              <w:t>1.1</w:t>
            </w:r>
            <w:r>
              <w:rPr>
                <w:rFonts w:hint="eastAsia" w:ascii="宋体" w:hAnsi="宋体" w:cs="宋体"/>
                <w:color w:val="auto"/>
                <w:kern w:val="0"/>
              </w:rPr>
              <w:t>。</w:t>
            </w:r>
          </w:p>
        </w:tc>
        <w:tc>
          <w:tcPr>
            <w:tcW w:w="1056" w:type="dxa"/>
            <w:noWrap w:val="0"/>
            <w:vAlign w:val="center"/>
          </w:tcPr>
          <w:p w14:paraId="07271948">
            <w:pPr>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1.1-2.3</w:t>
            </w:r>
          </w:p>
        </w:tc>
        <w:tc>
          <w:tcPr>
            <w:tcW w:w="975" w:type="dxa"/>
            <w:vMerge w:val="continue"/>
            <w:noWrap w:val="0"/>
            <w:vAlign w:val="center"/>
          </w:tcPr>
          <w:p w14:paraId="607352ED">
            <w:pPr>
              <w:rPr>
                <w:rFonts w:ascii="宋体" w:hAnsi="宋体" w:cs="宋体"/>
                <w:color w:val="auto"/>
                <w:kern w:val="0"/>
              </w:rPr>
            </w:pPr>
          </w:p>
        </w:tc>
        <w:tc>
          <w:tcPr>
            <w:tcW w:w="4384" w:type="dxa"/>
            <w:vMerge w:val="continue"/>
            <w:noWrap w:val="0"/>
            <w:vAlign w:val="center"/>
          </w:tcPr>
          <w:p w14:paraId="4ADB8666">
            <w:pPr>
              <w:widowControl/>
              <w:adjustRightInd w:val="0"/>
              <w:snapToGrid w:val="0"/>
              <w:spacing w:before="100" w:beforeAutospacing="1" w:after="100" w:afterAutospacing="1"/>
              <w:rPr>
                <w:rFonts w:ascii="宋体" w:hAnsi="宋体" w:cs="宋体"/>
                <w:color w:val="auto"/>
                <w:kern w:val="0"/>
              </w:rPr>
            </w:pPr>
          </w:p>
        </w:tc>
      </w:tr>
      <w:tr w14:paraId="5762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27D42C8F">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3302B764">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633187AE">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46B6FDAC">
            <w:pPr>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发明专利（第一作者）：申请</w:t>
            </w:r>
            <w:r>
              <w:rPr>
                <w:rFonts w:ascii="宋体" w:hAnsi="宋体" w:cs="宋体"/>
                <w:color w:val="auto"/>
                <w:kern w:val="0"/>
              </w:rPr>
              <w:t>0.</w:t>
            </w:r>
            <w:r>
              <w:rPr>
                <w:rFonts w:hint="eastAsia" w:ascii="宋体" w:hAnsi="宋体" w:cs="宋体"/>
                <w:color w:val="auto"/>
                <w:kern w:val="0"/>
                <w:lang w:val="en-US" w:eastAsia="zh-CN"/>
              </w:rPr>
              <w:t>4</w:t>
            </w:r>
            <w:r>
              <w:rPr>
                <w:rFonts w:hint="eastAsia" w:ascii="宋体" w:hAnsi="宋体" w:cs="宋体"/>
                <w:color w:val="auto"/>
                <w:kern w:val="0"/>
              </w:rPr>
              <w:t>，公开</w:t>
            </w:r>
            <w:r>
              <w:rPr>
                <w:rFonts w:hint="eastAsia" w:ascii="宋体" w:hAnsi="宋体" w:cs="宋体"/>
                <w:color w:val="auto"/>
                <w:kern w:val="0"/>
                <w:lang w:val="en-US" w:eastAsia="zh-CN"/>
              </w:rPr>
              <w:t>0.8</w:t>
            </w:r>
            <w:r>
              <w:rPr>
                <w:rFonts w:hint="eastAsia" w:ascii="宋体" w:hAnsi="宋体" w:cs="宋体"/>
                <w:color w:val="auto"/>
                <w:kern w:val="0"/>
              </w:rPr>
              <w:t>，授权</w:t>
            </w:r>
            <w:r>
              <w:rPr>
                <w:rFonts w:hint="eastAsia" w:ascii="宋体" w:hAnsi="宋体" w:cs="宋体"/>
                <w:color w:val="auto"/>
                <w:kern w:val="0"/>
                <w:lang w:val="en-US" w:eastAsia="zh-CN"/>
              </w:rPr>
              <w:t>1.5</w:t>
            </w:r>
            <w:r>
              <w:rPr>
                <w:rFonts w:hint="eastAsia" w:ascii="宋体" w:hAnsi="宋体" w:cs="宋体"/>
                <w:color w:val="auto"/>
                <w:kern w:val="0"/>
              </w:rPr>
              <w:t>。发明专利（第二作者）：申请</w:t>
            </w:r>
            <w:r>
              <w:rPr>
                <w:rFonts w:ascii="宋体" w:hAnsi="宋体" w:cs="宋体"/>
                <w:color w:val="auto"/>
                <w:kern w:val="0"/>
              </w:rPr>
              <w:t>0.</w:t>
            </w:r>
            <w:r>
              <w:rPr>
                <w:rFonts w:hint="eastAsia" w:ascii="宋体" w:hAnsi="宋体" w:cs="宋体"/>
                <w:color w:val="auto"/>
                <w:kern w:val="0"/>
                <w:lang w:val="en-US" w:eastAsia="zh-CN"/>
              </w:rPr>
              <w:t>2</w:t>
            </w:r>
            <w:r>
              <w:rPr>
                <w:rFonts w:hint="eastAsia" w:ascii="宋体" w:hAnsi="宋体" w:cs="宋体"/>
                <w:color w:val="auto"/>
                <w:kern w:val="0"/>
              </w:rPr>
              <w:t>，公开</w:t>
            </w:r>
            <w:r>
              <w:rPr>
                <w:rFonts w:ascii="宋体" w:hAnsi="宋体" w:cs="宋体"/>
                <w:color w:val="auto"/>
                <w:kern w:val="0"/>
              </w:rPr>
              <w:t>0.</w:t>
            </w:r>
            <w:r>
              <w:rPr>
                <w:rFonts w:hint="eastAsia" w:ascii="宋体" w:hAnsi="宋体" w:cs="宋体"/>
                <w:color w:val="auto"/>
                <w:kern w:val="0"/>
                <w:lang w:val="en-US" w:eastAsia="zh-CN"/>
              </w:rPr>
              <w:t>4</w:t>
            </w:r>
            <w:r>
              <w:rPr>
                <w:rFonts w:hint="eastAsia" w:ascii="宋体" w:hAnsi="宋体" w:cs="宋体"/>
                <w:color w:val="auto"/>
                <w:kern w:val="0"/>
              </w:rPr>
              <w:t>，授权</w:t>
            </w:r>
            <w:r>
              <w:rPr>
                <w:rFonts w:hint="eastAsia" w:ascii="宋体" w:hAnsi="宋体" w:cs="宋体"/>
                <w:color w:val="auto"/>
                <w:kern w:val="0"/>
                <w:lang w:val="en-US" w:eastAsia="zh-CN"/>
              </w:rPr>
              <w:t>0.8</w:t>
            </w:r>
            <w:r>
              <w:rPr>
                <w:rFonts w:hint="eastAsia" w:ascii="宋体" w:hAnsi="宋体" w:cs="宋体"/>
                <w:color w:val="auto"/>
                <w:kern w:val="0"/>
              </w:rPr>
              <w:t>。</w:t>
            </w:r>
          </w:p>
        </w:tc>
        <w:tc>
          <w:tcPr>
            <w:tcW w:w="1056" w:type="dxa"/>
            <w:noWrap w:val="0"/>
            <w:vAlign w:val="center"/>
          </w:tcPr>
          <w:p w14:paraId="0EF9A371">
            <w:pPr>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0.4-</w:t>
            </w:r>
            <w:r>
              <w:rPr>
                <w:rFonts w:hint="eastAsia" w:ascii="宋体" w:hAnsi="宋体" w:cs="宋体"/>
                <w:color w:val="auto"/>
                <w:kern w:val="0"/>
                <w:lang w:val="en-US" w:eastAsia="zh-CN"/>
              </w:rPr>
              <w:t>1.5</w:t>
            </w:r>
          </w:p>
        </w:tc>
        <w:tc>
          <w:tcPr>
            <w:tcW w:w="975" w:type="dxa"/>
            <w:vMerge w:val="continue"/>
            <w:noWrap w:val="0"/>
            <w:vAlign w:val="center"/>
          </w:tcPr>
          <w:p w14:paraId="3BBD0BEB">
            <w:pPr>
              <w:rPr>
                <w:rFonts w:ascii="宋体" w:hAnsi="宋体" w:cs="宋体"/>
                <w:color w:val="auto"/>
                <w:kern w:val="0"/>
              </w:rPr>
            </w:pPr>
          </w:p>
        </w:tc>
        <w:tc>
          <w:tcPr>
            <w:tcW w:w="4384" w:type="dxa"/>
            <w:vMerge w:val="continue"/>
            <w:noWrap w:val="0"/>
            <w:vAlign w:val="center"/>
          </w:tcPr>
          <w:p w14:paraId="2C8DDE16">
            <w:pPr>
              <w:widowControl/>
              <w:adjustRightInd w:val="0"/>
              <w:snapToGrid w:val="0"/>
              <w:spacing w:before="100" w:beforeAutospacing="1" w:after="100" w:afterAutospacing="1"/>
              <w:rPr>
                <w:rFonts w:ascii="宋体" w:hAnsi="宋体" w:cs="宋体"/>
                <w:color w:val="auto"/>
                <w:kern w:val="0"/>
              </w:rPr>
            </w:pPr>
          </w:p>
        </w:tc>
      </w:tr>
      <w:tr w14:paraId="26CF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0"/>
            <w:vAlign w:val="center"/>
          </w:tcPr>
          <w:p w14:paraId="1CBCADBA">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3B38B38C">
            <w:pPr>
              <w:widowControl/>
              <w:adjustRightInd w:val="0"/>
              <w:snapToGrid w:val="0"/>
              <w:spacing w:before="100" w:beforeAutospacing="1" w:after="100" w:afterAutospacing="1"/>
              <w:rPr>
                <w:rFonts w:ascii="宋体" w:hAnsi="宋体" w:cs="宋体"/>
                <w:b/>
                <w:color w:val="auto"/>
                <w:kern w:val="0"/>
                <w:sz w:val="24"/>
              </w:rPr>
            </w:pPr>
          </w:p>
        </w:tc>
        <w:tc>
          <w:tcPr>
            <w:tcW w:w="2464" w:type="dxa"/>
            <w:vMerge w:val="continue"/>
            <w:noWrap w:val="0"/>
            <w:vAlign w:val="center"/>
          </w:tcPr>
          <w:p w14:paraId="76E52B7A">
            <w:pPr>
              <w:widowControl/>
              <w:adjustRightInd w:val="0"/>
              <w:snapToGrid w:val="0"/>
              <w:spacing w:before="100" w:beforeAutospacing="1" w:after="100" w:afterAutospacing="1"/>
              <w:rPr>
                <w:rFonts w:ascii="宋体" w:hAnsi="宋体" w:cs="宋体"/>
                <w:color w:val="auto"/>
                <w:kern w:val="0"/>
              </w:rPr>
            </w:pPr>
          </w:p>
        </w:tc>
        <w:tc>
          <w:tcPr>
            <w:tcW w:w="5341" w:type="dxa"/>
            <w:noWrap w:val="0"/>
            <w:vAlign w:val="center"/>
          </w:tcPr>
          <w:p w14:paraId="315B47FB">
            <w:pPr>
              <w:adjustRightInd w:val="0"/>
              <w:snapToGrid w:val="0"/>
              <w:spacing w:before="100" w:beforeAutospacing="1" w:after="100" w:afterAutospacing="1"/>
              <w:jc w:val="left"/>
              <w:rPr>
                <w:rFonts w:ascii="宋体" w:hAnsi="宋体" w:cs="宋体"/>
                <w:bCs w:val="0"/>
                <w:color w:val="auto"/>
                <w:kern w:val="0"/>
              </w:rPr>
            </w:pPr>
            <w:r>
              <w:rPr>
                <w:rFonts w:hint="eastAsia" w:ascii="宋体" w:hAnsi="宋体" w:cs="宋体"/>
                <w:color w:val="auto"/>
                <w:kern w:val="0"/>
              </w:rPr>
              <w:t>参加CCF-CSP认证，排名全国前0.5%的：</w:t>
            </w:r>
            <w:r>
              <w:rPr>
                <w:rFonts w:hint="eastAsia" w:ascii="宋体" w:hAnsi="宋体" w:cs="宋体"/>
                <w:color w:val="auto"/>
                <w:kern w:val="0"/>
                <w:lang w:val="en-US" w:eastAsia="zh-CN"/>
              </w:rPr>
              <w:t>2.2</w:t>
            </w:r>
            <w:r>
              <w:rPr>
                <w:rFonts w:hint="eastAsia" w:ascii="宋体" w:hAnsi="宋体" w:cs="宋体"/>
                <w:color w:val="auto"/>
                <w:kern w:val="0"/>
              </w:rPr>
              <w:t>。                            参加CCF-CSP认证，排名全国前0.1%的：</w:t>
            </w:r>
            <w:r>
              <w:rPr>
                <w:rFonts w:hint="eastAsia" w:ascii="宋体" w:hAnsi="宋体" w:cs="宋体"/>
                <w:color w:val="auto"/>
                <w:kern w:val="0"/>
                <w:lang w:val="en-US" w:eastAsia="zh-CN"/>
              </w:rPr>
              <w:t>2.6</w:t>
            </w:r>
            <w:r>
              <w:rPr>
                <w:rFonts w:hint="eastAsia" w:ascii="宋体" w:hAnsi="宋体" w:cs="宋体"/>
                <w:color w:val="auto"/>
                <w:kern w:val="0"/>
              </w:rPr>
              <w:t>。</w:t>
            </w:r>
          </w:p>
        </w:tc>
        <w:tc>
          <w:tcPr>
            <w:tcW w:w="1056" w:type="dxa"/>
            <w:noWrap w:val="0"/>
            <w:vAlign w:val="center"/>
          </w:tcPr>
          <w:p w14:paraId="63C87F43">
            <w:pPr>
              <w:adjustRightInd w:val="0"/>
              <w:snapToGrid w:val="0"/>
              <w:spacing w:before="100" w:beforeAutospacing="1" w:after="100" w:afterAutospacing="1"/>
              <w:rPr>
                <w:rFonts w:hint="default" w:ascii="宋体" w:hAnsi="宋体" w:eastAsia="宋体" w:cs="宋体"/>
                <w:bCs w:val="0"/>
                <w:color w:val="auto"/>
                <w:kern w:val="0"/>
                <w:lang w:val="en-US" w:eastAsia="zh-CN"/>
              </w:rPr>
            </w:pPr>
            <w:r>
              <w:rPr>
                <w:rFonts w:hint="eastAsia" w:ascii="宋体" w:hAnsi="宋体" w:cs="宋体"/>
                <w:color w:val="auto"/>
                <w:kern w:val="0"/>
                <w:lang w:val="en-US" w:eastAsia="zh-CN"/>
              </w:rPr>
              <w:t>2.2</w:t>
            </w:r>
            <w:r>
              <w:rPr>
                <w:rFonts w:hint="eastAsia" w:ascii="宋体" w:hAnsi="宋体" w:cs="宋体"/>
                <w:color w:val="auto"/>
                <w:kern w:val="0"/>
              </w:rPr>
              <w:t>-</w:t>
            </w:r>
            <w:r>
              <w:rPr>
                <w:rFonts w:hint="eastAsia" w:ascii="宋体" w:hAnsi="宋体" w:cs="宋体"/>
                <w:color w:val="auto"/>
                <w:kern w:val="0"/>
                <w:lang w:val="en-US" w:eastAsia="zh-CN"/>
              </w:rPr>
              <w:t>2.6</w:t>
            </w:r>
          </w:p>
        </w:tc>
        <w:tc>
          <w:tcPr>
            <w:tcW w:w="975" w:type="dxa"/>
            <w:vMerge w:val="continue"/>
            <w:noWrap w:val="0"/>
            <w:vAlign w:val="center"/>
          </w:tcPr>
          <w:p w14:paraId="19B4B1B7">
            <w:pPr>
              <w:rPr>
                <w:rFonts w:ascii="宋体" w:hAnsi="宋体" w:cs="宋体"/>
                <w:color w:val="auto"/>
                <w:kern w:val="0"/>
              </w:rPr>
            </w:pPr>
          </w:p>
        </w:tc>
        <w:tc>
          <w:tcPr>
            <w:tcW w:w="4384" w:type="dxa"/>
            <w:vMerge w:val="continue"/>
            <w:noWrap w:val="0"/>
            <w:vAlign w:val="center"/>
          </w:tcPr>
          <w:p w14:paraId="4541192D">
            <w:pPr>
              <w:widowControl/>
              <w:adjustRightInd w:val="0"/>
              <w:snapToGrid w:val="0"/>
              <w:spacing w:before="100" w:beforeAutospacing="1" w:after="100" w:afterAutospacing="1"/>
              <w:rPr>
                <w:rFonts w:ascii="宋体" w:hAnsi="宋体" w:cs="宋体"/>
                <w:color w:val="auto"/>
                <w:kern w:val="0"/>
              </w:rPr>
            </w:pPr>
          </w:p>
        </w:tc>
      </w:tr>
      <w:tr w14:paraId="5FD3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vMerge w:val="continue"/>
            <w:noWrap w:val="0"/>
            <w:vAlign w:val="center"/>
          </w:tcPr>
          <w:p w14:paraId="6293766C">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restart"/>
            <w:noWrap w:val="0"/>
            <w:vAlign w:val="center"/>
          </w:tcPr>
          <w:p w14:paraId="38C42EE9">
            <w:pPr>
              <w:widowControl/>
              <w:adjustRightInd w:val="0"/>
              <w:snapToGrid w:val="0"/>
              <w:spacing w:before="100" w:beforeAutospacing="1" w:after="100" w:afterAutospacing="1"/>
              <w:rPr>
                <w:rFonts w:hint="eastAsia" w:ascii="宋体" w:hAnsi="宋体" w:cs="宋体"/>
                <w:b/>
                <w:color w:val="auto"/>
                <w:kern w:val="0"/>
                <w:sz w:val="24"/>
              </w:rPr>
            </w:pPr>
          </w:p>
          <w:p w14:paraId="4F93AE21">
            <w:pPr>
              <w:widowControl/>
              <w:adjustRightInd w:val="0"/>
              <w:snapToGrid w:val="0"/>
              <w:spacing w:before="100" w:beforeAutospacing="1" w:after="100" w:afterAutospacing="1"/>
              <w:rPr>
                <w:rFonts w:hint="eastAsia" w:ascii="宋体" w:hAnsi="宋体" w:cs="宋体"/>
                <w:b/>
                <w:color w:val="auto"/>
                <w:kern w:val="0"/>
                <w:sz w:val="24"/>
              </w:rPr>
            </w:pPr>
          </w:p>
          <w:p w14:paraId="0FE8AA73">
            <w:pPr>
              <w:widowControl/>
              <w:adjustRightInd w:val="0"/>
              <w:snapToGrid w:val="0"/>
              <w:spacing w:before="100" w:beforeAutospacing="1" w:after="100" w:afterAutospacing="1"/>
              <w:rPr>
                <w:rFonts w:ascii="宋体" w:hAnsi="宋体" w:cs="宋体"/>
                <w:b/>
                <w:bCs w:val="0"/>
                <w:color w:val="auto"/>
                <w:kern w:val="0"/>
                <w:sz w:val="24"/>
              </w:rPr>
            </w:pPr>
            <w:r>
              <w:rPr>
                <w:rFonts w:hint="eastAsia" w:ascii="宋体" w:hAnsi="宋体" w:cs="宋体"/>
                <w:b/>
                <w:color w:val="auto"/>
                <w:kern w:val="0"/>
                <w:sz w:val="24"/>
              </w:rPr>
              <w:t>人文艺术体育素养</w:t>
            </w:r>
          </w:p>
        </w:tc>
        <w:tc>
          <w:tcPr>
            <w:tcW w:w="2464" w:type="dxa"/>
            <w:vMerge w:val="restart"/>
            <w:noWrap w:val="0"/>
            <w:vAlign w:val="center"/>
          </w:tcPr>
          <w:p w14:paraId="2C870E4E">
            <w:pPr>
              <w:rPr>
                <w:rFonts w:ascii="宋体" w:hAnsi="宋体" w:cs="宋体"/>
                <w:bCs w:val="0"/>
                <w:color w:val="auto"/>
                <w:kern w:val="0"/>
              </w:rPr>
            </w:pPr>
            <w:r>
              <w:rPr>
                <w:rFonts w:hint="eastAsia" w:ascii="宋体" w:hAnsi="宋体" w:cs="宋体"/>
                <w:color w:val="auto"/>
                <w:kern w:val="0"/>
              </w:rPr>
              <w:t>1）参加人文艺术体育类竞赛并获奖；</w:t>
            </w:r>
          </w:p>
          <w:p w14:paraId="600C4A50">
            <w:pPr>
              <w:rPr>
                <w:rFonts w:ascii="宋体" w:hAnsi="宋体" w:cs="宋体"/>
                <w:color w:val="auto"/>
                <w:kern w:val="0"/>
              </w:rPr>
            </w:pPr>
            <w:r>
              <w:rPr>
                <w:rFonts w:hint="eastAsia" w:ascii="宋体" w:hAnsi="宋体" w:cs="宋体"/>
                <w:color w:val="auto"/>
                <w:kern w:val="0"/>
              </w:rPr>
              <w:t>2）人文艺术体育作品发表并产生一定影响力；</w:t>
            </w:r>
          </w:p>
          <w:p w14:paraId="203EE019">
            <w:pPr>
              <w:rPr>
                <w:rFonts w:ascii="宋体" w:hAnsi="宋体" w:cs="宋体"/>
                <w:bCs w:val="0"/>
                <w:color w:val="auto"/>
                <w:kern w:val="0"/>
              </w:rPr>
            </w:pPr>
            <w:r>
              <w:rPr>
                <w:rFonts w:hint="eastAsia" w:ascii="宋体" w:hAnsi="宋体" w:cs="宋体"/>
                <w:color w:val="auto"/>
                <w:kern w:val="0"/>
              </w:rPr>
              <w:t>3）参与人文艺术体育活动并经相关部门认定。</w:t>
            </w:r>
          </w:p>
        </w:tc>
        <w:tc>
          <w:tcPr>
            <w:tcW w:w="5341" w:type="dxa"/>
            <w:noWrap w:val="0"/>
            <w:vAlign w:val="center"/>
          </w:tcPr>
          <w:p w14:paraId="51846137">
            <w:r>
              <w:rPr>
                <w:rFonts w:hint="eastAsia" w:ascii="宋体" w:hAnsi="宋体" w:cs="宋体"/>
                <w:color w:val="auto"/>
                <w:kern w:val="0"/>
              </w:rPr>
              <w:t>获国际级体育比赛第1-</w:t>
            </w:r>
            <w:r>
              <w:rPr>
                <w:rFonts w:ascii="宋体" w:hAnsi="宋体" w:cs="宋体"/>
                <w:color w:val="auto"/>
                <w:kern w:val="0"/>
              </w:rPr>
              <w:t>8</w:t>
            </w:r>
            <w:r>
              <w:rPr>
                <w:rFonts w:hint="eastAsia" w:ascii="宋体" w:hAnsi="宋体" w:cs="宋体"/>
                <w:color w:val="auto"/>
                <w:kern w:val="0"/>
              </w:rPr>
              <w:t>名，分别加分：</w:t>
            </w:r>
          </w:p>
          <w:p w14:paraId="2BCECFAF">
            <w:pPr>
              <w:adjustRightInd w:val="0"/>
              <w:snapToGrid w:val="0"/>
              <w:spacing w:before="100" w:beforeAutospacing="1" w:after="100" w:afterAutospacing="1"/>
              <w:ind w:right="-32"/>
              <w:rPr>
                <w:rFonts w:hint="eastAsia" w:ascii="宋体" w:hAnsi="宋体" w:cs="宋体"/>
                <w:color w:val="auto"/>
                <w:kern w:val="0"/>
              </w:rPr>
            </w:pPr>
            <w:r>
              <w:rPr>
                <w:rFonts w:hint="eastAsia" w:ascii="宋体" w:hAnsi="宋体" w:cs="宋体"/>
                <w:color w:val="auto"/>
                <w:kern w:val="0"/>
              </w:rPr>
              <w:t>3.2、3.0、2.8、2.6、2.4、2.2、2.0、1.8</w:t>
            </w:r>
          </w:p>
          <w:p w14:paraId="3BAFA479">
            <w:pPr>
              <w:adjustRightInd w:val="0"/>
              <w:snapToGrid w:val="0"/>
              <w:spacing w:before="100" w:beforeAutospacing="1" w:after="100" w:afterAutospacing="1"/>
              <w:ind w:right="-32"/>
              <w:rPr>
                <w:rFonts w:ascii="宋体" w:hAnsi="宋体" w:cs="宋体"/>
                <w:color w:val="auto"/>
                <w:kern w:val="0"/>
              </w:rPr>
            </w:pPr>
            <w:r>
              <w:rPr>
                <w:rFonts w:hint="eastAsia" w:ascii="宋体" w:hAnsi="宋体" w:cs="宋体"/>
                <w:color w:val="auto"/>
                <w:kern w:val="0"/>
              </w:rPr>
              <w:t xml:space="preserve">获国际级艺术类比赛（文艺演出等）1-3等奖，分别加分： </w:t>
            </w:r>
            <w:r>
              <w:rPr>
                <w:rFonts w:ascii="宋体" w:hAnsi="宋体" w:cs="宋体"/>
                <w:color w:val="auto"/>
                <w:kern w:val="0"/>
              </w:rPr>
              <w:t>2.</w:t>
            </w:r>
            <w:r>
              <w:rPr>
                <w:rFonts w:hint="eastAsia" w:ascii="宋体" w:hAnsi="宋体" w:cs="宋体"/>
                <w:color w:val="auto"/>
                <w:kern w:val="0"/>
              </w:rPr>
              <w:t>8、</w:t>
            </w:r>
            <w:r>
              <w:rPr>
                <w:rFonts w:ascii="宋体" w:hAnsi="宋体" w:cs="宋体"/>
                <w:color w:val="auto"/>
                <w:kern w:val="0"/>
              </w:rPr>
              <w:t>2.4</w:t>
            </w:r>
            <w:r>
              <w:rPr>
                <w:rFonts w:hint="eastAsia" w:ascii="宋体" w:hAnsi="宋体" w:cs="宋体"/>
                <w:color w:val="auto"/>
                <w:kern w:val="0"/>
              </w:rPr>
              <w:t>、</w:t>
            </w:r>
            <w:r>
              <w:rPr>
                <w:rFonts w:ascii="宋体" w:hAnsi="宋体" w:cs="宋体"/>
                <w:color w:val="auto"/>
                <w:kern w:val="0"/>
              </w:rPr>
              <w:t>2.0,</w:t>
            </w:r>
          </w:p>
          <w:p w14:paraId="3EDEF1EA">
            <w:pPr>
              <w:adjustRightInd w:val="0"/>
              <w:snapToGrid w:val="0"/>
              <w:spacing w:before="100" w:beforeAutospacing="1" w:after="100" w:afterAutospacing="1"/>
              <w:ind w:right="-32"/>
              <w:rPr>
                <w:rFonts w:hint="default" w:ascii="宋体" w:hAnsi="宋体" w:eastAsia="宋体" w:cs="宋体"/>
                <w:color w:val="auto"/>
                <w:kern w:val="0"/>
                <w:lang w:val="en-US" w:eastAsia="zh-CN"/>
              </w:rPr>
            </w:pPr>
            <w:r>
              <w:rPr>
                <w:rFonts w:hint="eastAsia" w:ascii="宋体" w:hAnsi="宋体" w:cs="宋体"/>
                <w:color w:val="auto"/>
                <w:kern w:val="0"/>
              </w:rPr>
              <w:t xml:space="preserve">获国际级人文类比赛（非专业类论文评比或征文比赛、文学等）1-3等奖，分别加分： </w:t>
            </w:r>
            <w:r>
              <w:rPr>
                <w:rFonts w:hint="eastAsia" w:ascii="宋体" w:hAnsi="宋体" w:cs="宋体"/>
                <w:color w:val="auto"/>
                <w:kern w:val="0"/>
                <w:lang w:val="en-US" w:eastAsia="zh-CN"/>
              </w:rPr>
              <w:t>1.0</w:t>
            </w:r>
            <w:r>
              <w:rPr>
                <w:rFonts w:hint="eastAsia" w:ascii="宋体" w:hAnsi="宋体" w:cs="宋体"/>
                <w:color w:val="auto"/>
                <w:kern w:val="0"/>
              </w:rPr>
              <w:t>、</w:t>
            </w:r>
            <w:r>
              <w:rPr>
                <w:rFonts w:hint="eastAsia" w:ascii="宋体" w:hAnsi="宋体" w:cs="宋体"/>
                <w:color w:val="auto"/>
                <w:kern w:val="0"/>
                <w:lang w:val="en-US" w:eastAsia="zh-CN"/>
              </w:rPr>
              <w:t>0</w:t>
            </w:r>
            <w:r>
              <w:rPr>
                <w:rFonts w:hint="eastAsia" w:ascii="宋体" w:hAnsi="宋体" w:cs="宋体"/>
                <w:color w:val="auto"/>
                <w:kern w:val="0"/>
              </w:rPr>
              <w:t>.8、</w:t>
            </w:r>
            <w:r>
              <w:rPr>
                <w:rFonts w:hint="eastAsia" w:ascii="宋体" w:hAnsi="宋体" w:cs="宋体"/>
                <w:color w:val="auto"/>
                <w:kern w:val="0"/>
                <w:lang w:val="en-US" w:eastAsia="zh-CN"/>
              </w:rPr>
              <w:t>0.6</w:t>
            </w:r>
          </w:p>
        </w:tc>
        <w:tc>
          <w:tcPr>
            <w:tcW w:w="1056" w:type="dxa"/>
            <w:noWrap w:val="0"/>
            <w:vAlign w:val="center"/>
          </w:tcPr>
          <w:p w14:paraId="0751CB12">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1.8-3.2</w:t>
            </w:r>
          </w:p>
        </w:tc>
        <w:tc>
          <w:tcPr>
            <w:tcW w:w="975" w:type="dxa"/>
            <w:vMerge w:val="continue"/>
            <w:noWrap w:val="0"/>
            <w:vAlign w:val="center"/>
          </w:tcPr>
          <w:p w14:paraId="34EEA074">
            <w:pPr>
              <w:rPr>
                <w:rFonts w:ascii="宋体" w:hAnsi="宋体"/>
                <w:b/>
                <w:color w:val="auto"/>
              </w:rPr>
            </w:pPr>
          </w:p>
        </w:tc>
        <w:tc>
          <w:tcPr>
            <w:tcW w:w="4384" w:type="dxa"/>
            <w:vMerge w:val="restart"/>
            <w:noWrap w:val="0"/>
            <w:vAlign w:val="center"/>
          </w:tcPr>
          <w:p w14:paraId="6CF1955C">
            <w:pPr>
              <w:widowControl/>
              <w:tabs>
                <w:tab w:val="left" w:pos="797"/>
              </w:tabs>
              <w:adjustRightInd w:val="0"/>
              <w:snapToGrid w:val="0"/>
              <w:rPr>
                <w:rFonts w:hint="default" w:ascii="宋体" w:hAnsi="宋体" w:eastAsia="宋体" w:cs="宋体"/>
                <w:bCs w:val="0"/>
                <w:color w:val="auto"/>
                <w:kern w:val="0"/>
                <w:lang w:val="en-US" w:eastAsia="zh-CN"/>
              </w:rPr>
            </w:pPr>
            <w:r>
              <w:rPr>
                <w:rFonts w:ascii="宋体" w:hAnsi="宋体" w:cs="宋体"/>
                <w:color w:val="auto"/>
                <w:kern w:val="0"/>
              </w:rPr>
              <w:t>1</w:t>
            </w:r>
            <w:r>
              <w:rPr>
                <w:rFonts w:hint="eastAsia" w:ascii="宋体" w:hAnsi="宋体" w:cs="宋体"/>
                <w:color w:val="auto"/>
                <w:kern w:val="0"/>
              </w:rPr>
              <w:t>、所有获奖必须由主办单位提供书面有效证明。</w:t>
            </w:r>
            <w:r>
              <w:rPr>
                <w:rFonts w:hint="eastAsia" w:ascii="宋体" w:hAnsi="宋体" w:cs="宋体"/>
                <w:color w:val="auto"/>
                <w:kern w:val="0"/>
                <w:lang w:val="en-US" w:eastAsia="zh-CN"/>
              </w:rPr>
              <w:t>获奖证书上落款的主办单位须为政府机构、事业单位或在民政部登记注册的行业协会等正规的社会组织。</w:t>
            </w:r>
          </w:p>
          <w:p w14:paraId="6DCA8BF4">
            <w:pPr>
              <w:widowControl/>
              <w:adjustRightInd w:val="0"/>
              <w:snapToGrid w:val="0"/>
              <w:rPr>
                <w:rFonts w:ascii="宋体" w:hAnsi="宋体" w:cs="宋体"/>
                <w:bCs w:val="0"/>
                <w:color w:val="auto"/>
                <w:kern w:val="0"/>
              </w:rPr>
            </w:pPr>
            <w:r>
              <w:rPr>
                <w:rFonts w:ascii="宋体" w:hAnsi="宋体" w:cs="宋体"/>
                <w:color w:val="auto"/>
                <w:kern w:val="0"/>
              </w:rPr>
              <w:t>2</w:t>
            </w:r>
            <w:r>
              <w:rPr>
                <w:rFonts w:hint="eastAsia" w:ascii="宋体" w:hAnsi="宋体" w:cs="宋体"/>
                <w:color w:val="auto"/>
                <w:kern w:val="0"/>
              </w:rPr>
              <w:t>、所有人文艺术体育类比赛均需为正式比赛；友谊赛</w:t>
            </w:r>
            <w:r>
              <w:rPr>
                <w:rFonts w:hint="eastAsia" w:ascii="宋体" w:hAnsi="宋体" w:cs="宋体"/>
                <w:color w:val="auto"/>
                <w:kern w:val="0"/>
                <w:lang w:eastAsia="zh-CN"/>
              </w:rPr>
              <w:t>、</w:t>
            </w:r>
            <w:r>
              <w:rPr>
                <w:rFonts w:hint="eastAsia" w:ascii="宋体" w:hAnsi="宋体" w:cs="宋体"/>
                <w:color w:val="auto"/>
                <w:kern w:val="0"/>
                <w:lang w:val="en-US" w:eastAsia="zh-CN"/>
              </w:rPr>
              <w:t>趣味赛</w:t>
            </w:r>
            <w:r>
              <w:rPr>
                <w:rFonts w:hint="eastAsia" w:ascii="宋体" w:hAnsi="宋体" w:cs="宋体"/>
                <w:color w:val="auto"/>
                <w:kern w:val="0"/>
              </w:rPr>
              <w:t>和社团</w:t>
            </w:r>
            <w:r>
              <w:rPr>
                <w:rFonts w:hint="eastAsia" w:ascii="宋体" w:hAnsi="宋体" w:cs="宋体"/>
                <w:color w:val="auto"/>
                <w:kern w:val="0"/>
                <w:lang w:val="en-US" w:eastAsia="zh-CN"/>
              </w:rPr>
              <w:t>内部</w:t>
            </w:r>
            <w:r>
              <w:rPr>
                <w:rFonts w:hint="eastAsia" w:ascii="宋体" w:hAnsi="宋体" w:cs="宋体"/>
                <w:color w:val="auto"/>
                <w:kern w:val="0"/>
              </w:rPr>
              <w:t>的</w:t>
            </w:r>
            <w:r>
              <w:rPr>
                <w:rFonts w:hint="eastAsia" w:ascii="宋体" w:hAnsi="宋体" w:cs="宋体"/>
                <w:color w:val="auto"/>
                <w:kern w:val="0"/>
                <w:lang w:val="en-US" w:eastAsia="zh-CN"/>
              </w:rPr>
              <w:t>交流</w:t>
            </w:r>
            <w:r>
              <w:rPr>
                <w:rFonts w:hint="eastAsia" w:ascii="宋体" w:hAnsi="宋体" w:cs="宋体"/>
                <w:color w:val="auto"/>
                <w:kern w:val="0"/>
              </w:rPr>
              <w:t>比赛不列入加分范围。</w:t>
            </w:r>
          </w:p>
          <w:p w14:paraId="305FA8E3">
            <w:pPr>
              <w:widowControl/>
              <w:adjustRightInd w:val="0"/>
              <w:snapToGrid w:val="0"/>
              <w:rPr>
                <w:rFonts w:ascii="宋体" w:hAnsi="宋体" w:cs="宋体"/>
                <w:bCs w:val="0"/>
                <w:color w:val="auto"/>
                <w:kern w:val="0"/>
              </w:rPr>
            </w:pPr>
            <w:r>
              <w:rPr>
                <w:rFonts w:ascii="宋体" w:hAnsi="宋体" w:cs="宋体"/>
                <w:color w:val="auto"/>
                <w:kern w:val="0"/>
              </w:rPr>
              <w:t>3</w:t>
            </w:r>
            <w:r>
              <w:rPr>
                <w:rFonts w:hint="eastAsia" w:ascii="宋体" w:hAnsi="宋体" w:cs="宋体"/>
                <w:color w:val="auto"/>
                <w:kern w:val="0"/>
              </w:rPr>
              <w:t>、同一</w:t>
            </w:r>
            <w:r>
              <w:rPr>
                <w:rFonts w:hint="eastAsia" w:ascii="宋体" w:hAnsi="宋体" w:cs="宋体"/>
                <w:color w:val="auto"/>
                <w:kern w:val="0"/>
                <w:lang w:val="en-US" w:eastAsia="zh-CN"/>
              </w:rPr>
              <w:t>比赛</w:t>
            </w:r>
            <w:r>
              <w:rPr>
                <w:rFonts w:hint="eastAsia" w:ascii="宋体" w:hAnsi="宋体" w:cs="宋体"/>
                <w:color w:val="auto"/>
                <w:kern w:val="0"/>
              </w:rPr>
              <w:t>多次获奖</w:t>
            </w:r>
            <w:r>
              <w:rPr>
                <w:rFonts w:hint="eastAsia" w:ascii="宋体" w:hAnsi="宋体" w:cs="宋体"/>
                <w:color w:val="auto"/>
                <w:kern w:val="0"/>
                <w:lang w:eastAsia="zh-CN"/>
              </w:rPr>
              <w:t>（</w:t>
            </w:r>
            <w:r>
              <w:rPr>
                <w:rFonts w:hint="eastAsia" w:ascii="宋体" w:hAnsi="宋体" w:cs="宋体"/>
                <w:color w:val="auto"/>
                <w:kern w:val="0"/>
                <w:lang w:val="en-US" w:eastAsia="zh-CN"/>
              </w:rPr>
              <w:t>院级、校级、省市级等</w:t>
            </w:r>
            <w:r>
              <w:rPr>
                <w:rFonts w:hint="eastAsia" w:ascii="宋体" w:hAnsi="宋体" w:cs="宋体"/>
                <w:color w:val="auto"/>
                <w:kern w:val="0"/>
                <w:lang w:eastAsia="zh-CN"/>
              </w:rPr>
              <w:t>）</w:t>
            </w:r>
            <w:r>
              <w:rPr>
                <w:rFonts w:hint="eastAsia" w:ascii="宋体" w:hAnsi="宋体" w:cs="宋体"/>
                <w:color w:val="auto"/>
                <w:kern w:val="0"/>
              </w:rPr>
              <w:t>只记最高分，不累加</w:t>
            </w:r>
            <w:r>
              <w:rPr>
                <w:rFonts w:hint="eastAsia" w:ascii="宋体" w:hAnsi="宋体" w:cs="宋体"/>
                <w:color w:val="auto"/>
                <w:kern w:val="0"/>
                <w:lang w:eastAsia="zh-CN"/>
              </w:rPr>
              <w:t>；</w:t>
            </w:r>
            <w:r>
              <w:rPr>
                <w:rFonts w:hint="eastAsia" w:ascii="宋体" w:hAnsi="宋体" w:cs="宋体"/>
                <w:color w:val="auto"/>
                <w:kern w:val="0"/>
              </w:rPr>
              <w:t>人文艺术体育类不同项目可累加，最多可累加3项，累加公式：第一项目加分分值×100％＋第二项目加分分值×50％＋第三项目加分分值×30％。</w:t>
            </w:r>
          </w:p>
          <w:p w14:paraId="40D74BE3">
            <w:pPr>
              <w:widowControl/>
              <w:adjustRightInd w:val="0"/>
              <w:snapToGrid w:val="0"/>
              <w:rPr>
                <w:rFonts w:ascii="宋体" w:hAnsi="宋体" w:cs="宋体"/>
                <w:bCs w:val="0"/>
                <w:color w:val="auto"/>
                <w:kern w:val="0"/>
              </w:rPr>
            </w:pPr>
            <w:r>
              <w:rPr>
                <w:rFonts w:hint="eastAsia" w:ascii="宋体" w:hAnsi="宋体" w:cs="宋体"/>
                <w:color w:val="auto"/>
                <w:kern w:val="0"/>
              </w:rPr>
              <w:t>4、如果校队队员（如：辩论队队员）参加某项比赛获奖而享受了相应的学业成绩加分，则该项目不能列入加分范围。</w:t>
            </w:r>
          </w:p>
          <w:p w14:paraId="322ED02C">
            <w:pPr>
              <w:widowControl/>
              <w:adjustRightInd w:val="0"/>
              <w:snapToGrid w:val="0"/>
              <w:rPr>
                <w:rFonts w:ascii="宋体" w:hAnsi="宋体"/>
                <w:color w:val="auto"/>
              </w:rPr>
            </w:pPr>
            <w:r>
              <w:rPr>
                <w:rFonts w:ascii="宋体" w:hAnsi="宋体"/>
                <w:color w:val="auto"/>
              </w:rPr>
              <w:t>5</w:t>
            </w:r>
            <w:r>
              <w:rPr>
                <w:rFonts w:hint="eastAsia" w:ascii="宋体" w:hAnsi="宋体"/>
                <w:color w:val="auto"/>
              </w:rPr>
              <w:t>、参加</w:t>
            </w:r>
            <w:r>
              <w:rPr>
                <w:rFonts w:hint="eastAsia" w:ascii="宋体" w:hAnsi="宋体" w:cs="宋体"/>
                <w:color w:val="auto"/>
                <w:kern w:val="0"/>
              </w:rPr>
              <w:t>非专业类论文评比或征文比赛、文学等按除指导老师外的学生排序，第一作者按该级别等级1</w:t>
            </w:r>
            <w:r>
              <w:rPr>
                <w:rFonts w:ascii="宋体" w:hAnsi="宋体" w:cs="宋体"/>
                <w:color w:val="auto"/>
                <w:kern w:val="0"/>
              </w:rPr>
              <w:t>00</w:t>
            </w:r>
            <w:r>
              <w:rPr>
                <w:rFonts w:hint="eastAsia" w:ascii="宋体" w:hAnsi="宋体" w:cs="宋体"/>
                <w:color w:val="auto"/>
                <w:kern w:val="0"/>
              </w:rPr>
              <w:t>%加分，第二作者按该级别等级</w:t>
            </w:r>
            <w:r>
              <w:rPr>
                <w:rFonts w:ascii="宋体" w:hAnsi="宋体" w:cs="宋体"/>
                <w:color w:val="auto"/>
                <w:kern w:val="0"/>
              </w:rPr>
              <w:t>60</w:t>
            </w:r>
            <w:r>
              <w:rPr>
                <w:rFonts w:hint="eastAsia" w:ascii="宋体" w:hAnsi="宋体" w:cs="宋体"/>
                <w:color w:val="auto"/>
                <w:kern w:val="0"/>
              </w:rPr>
              <w:t>%加分。</w:t>
            </w:r>
          </w:p>
          <w:p w14:paraId="63ABBED0">
            <w:pPr>
              <w:widowControl/>
              <w:adjustRightInd w:val="0"/>
              <w:snapToGrid w:val="0"/>
              <w:rPr>
                <w:rFonts w:hint="eastAsia" w:ascii="宋体" w:hAnsi="宋体" w:cs="宋体"/>
                <w:color w:val="auto"/>
                <w:kern w:val="0"/>
              </w:rPr>
            </w:pPr>
            <w:r>
              <w:rPr>
                <w:rFonts w:ascii="宋体" w:hAnsi="宋体" w:cs="宋体"/>
                <w:color w:val="auto"/>
                <w:kern w:val="0"/>
              </w:rPr>
              <w:t>6</w:t>
            </w:r>
            <w:r>
              <w:rPr>
                <w:rFonts w:hint="eastAsia" w:ascii="宋体" w:hAnsi="宋体" w:cs="宋体"/>
                <w:color w:val="auto"/>
                <w:kern w:val="0"/>
              </w:rPr>
              <w:t>、如遇进入八强，但未决出5-8名名次的，则按5-8名的平均分加分。</w:t>
            </w:r>
          </w:p>
          <w:p w14:paraId="26AB5A2E">
            <w:pPr>
              <w:widowControl/>
              <w:adjustRightInd w:val="0"/>
              <w:snapToGrid w:val="0"/>
              <w:rPr>
                <w:rFonts w:hint="default" w:ascii="宋体" w:hAnsi="宋体" w:eastAsia="宋体" w:cs="宋体"/>
                <w:color w:val="auto"/>
                <w:kern w:val="0"/>
                <w:lang w:val="en-US" w:eastAsia="zh-CN"/>
              </w:rPr>
            </w:pPr>
            <w:r>
              <w:rPr>
                <w:rFonts w:hint="eastAsia" w:ascii="宋体" w:hAnsi="宋体" w:cs="宋体"/>
                <w:color w:val="auto"/>
                <w:kern w:val="0"/>
                <w:lang w:val="en-US" w:eastAsia="zh-CN"/>
              </w:rPr>
              <w:t>7</w:t>
            </w:r>
            <w:r>
              <w:rPr>
                <w:rFonts w:hint="eastAsia" w:ascii="宋体" w:hAnsi="宋体" w:cs="宋体"/>
                <w:color w:val="auto"/>
                <w:kern w:val="0"/>
              </w:rPr>
              <w:t>、</w:t>
            </w:r>
            <w:r>
              <w:rPr>
                <w:rFonts w:hint="eastAsia" w:ascii="宋体" w:hAnsi="宋体" w:cs="宋体"/>
                <w:color w:val="auto"/>
                <w:kern w:val="0"/>
                <w:lang w:val="en-US" w:eastAsia="zh-CN"/>
              </w:rPr>
              <w:t>人文艺术体育类比赛包括团队赛和个人赛，团队赛不区分队长和一般队员</w:t>
            </w:r>
            <w:r>
              <w:rPr>
                <w:rFonts w:hint="eastAsia" w:ascii="宋体" w:hAnsi="宋体" w:cs="宋体"/>
                <w:color w:val="auto"/>
                <w:kern w:val="0"/>
              </w:rPr>
              <w:t>。</w:t>
            </w:r>
            <w:r>
              <w:rPr>
                <w:rFonts w:hint="eastAsia" w:ascii="宋体" w:hAnsi="宋体" w:cs="宋体"/>
                <w:color w:val="auto"/>
                <w:kern w:val="0"/>
                <w:lang w:val="en-US" w:eastAsia="zh-CN"/>
              </w:rPr>
              <w:t>团队赛的获奖证书上无队员姓名的，需提供有效的参赛证明。</w:t>
            </w:r>
          </w:p>
          <w:p w14:paraId="1823EF1E">
            <w:pPr>
              <w:widowControl/>
              <w:adjustRightInd w:val="0"/>
              <w:snapToGrid w:val="0"/>
              <w:rPr>
                <w:rFonts w:ascii="宋体" w:hAnsi="宋体" w:cs="宋体"/>
                <w:b/>
                <w:color w:val="auto"/>
                <w:kern w:val="0"/>
              </w:rPr>
            </w:pPr>
            <w:r>
              <w:rPr>
                <w:rFonts w:hint="eastAsia" w:ascii="宋体" w:hAnsi="宋体"/>
                <w:b/>
                <w:color w:val="auto"/>
                <w:lang w:val="en-US" w:eastAsia="zh-CN"/>
              </w:rPr>
              <w:t>8</w:t>
            </w:r>
            <w:r>
              <w:rPr>
                <w:rFonts w:hint="eastAsia" w:ascii="宋体" w:hAnsi="宋体"/>
                <w:b/>
                <w:color w:val="auto"/>
              </w:rPr>
              <w:t>、“人文艺术体育素养”加分</w:t>
            </w:r>
            <w:r>
              <w:rPr>
                <w:rFonts w:hint="eastAsia" w:ascii="宋体" w:hAnsi="宋体" w:cs="宋体"/>
                <w:b/>
                <w:color w:val="auto"/>
                <w:kern w:val="0"/>
              </w:rPr>
              <w:t>上限为3分，累计3分以上按3分计算。</w:t>
            </w:r>
          </w:p>
        </w:tc>
      </w:tr>
      <w:tr w14:paraId="2B45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0" w:type="auto"/>
            <w:vMerge w:val="continue"/>
            <w:noWrap w:val="0"/>
            <w:vAlign w:val="center"/>
          </w:tcPr>
          <w:p w14:paraId="457A6558">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continue"/>
            <w:noWrap w:val="0"/>
            <w:vAlign w:val="center"/>
          </w:tcPr>
          <w:p w14:paraId="06ECBC17">
            <w:pPr>
              <w:widowControl/>
              <w:adjustRightInd w:val="0"/>
              <w:snapToGrid w:val="0"/>
              <w:spacing w:before="100" w:beforeAutospacing="1" w:after="100" w:afterAutospacing="1"/>
              <w:rPr>
                <w:rFonts w:ascii="宋体" w:hAnsi="宋体" w:cs="宋体"/>
                <w:b/>
                <w:bCs w:val="0"/>
                <w:color w:val="auto"/>
                <w:kern w:val="0"/>
                <w:sz w:val="24"/>
              </w:rPr>
            </w:pPr>
          </w:p>
        </w:tc>
        <w:tc>
          <w:tcPr>
            <w:tcW w:w="2464" w:type="dxa"/>
            <w:vMerge w:val="continue"/>
            <w:noWrap w:val="0"/>
            <w:vAlign w:val="center"/>
          </w:tcPr>
          <w:p w14:paraId="2F5A4766">
            <w:pPr>
              <w:widowControl/>
              <w:adjustRightInd w:val="0"/>
              <w:snapToGrid w:val="0"/>
              <w:spacing w:before="100" w:beforeAutospacing="1" w:after="100" w:afterAutospacing="1"/>
              <w:rPr>
                <w:rFonts w:ascii="宋体" w:hAnsi="宋体" w:cs="宋体"/>
                <w:bCs w:val="0"/>
                <w:color w:val="auto"/>
                <w:kern w:val="0"/>
              </w:rPr>
            </w:pPr>
          </w:p>
        </w:tc>
        <w:tc>
          <w:tcPr>
            <w:tcW w:w="5341" w:type="dxa"/>
            <w:noWrap w:val="0"/>
            <w:vAlign w:val="center"/>
          </w:tcPr>
          <w:p w14:paraId="5C3F46E5">
            <w:pPr>
              <w:adjustRightInd w:val="0"/>
              <w:snapToGrid w:val="0"/>
              <w:spacing w:before="100" w:beforeAutospacing="1" w:after="100" w:afterAutospacing="1"/>
              <w:ind w:right="-32"/>
              <w:rPr>
                <w:rFonts w:hint="eastAsia" w:ascii="宋体" w:hAnsi="宋体" w:cs="宋体"/>
                <w:color w:val="auto"/>
                <w:kern w:val="0"/>
              </w:rPr>
            </w:pPr>
            <w:r>
              <w:rPr>
                <w:rFonts w:hint="eastAsia" w:ascii="宋体" w:hAnsi="宋体" w:cs="宋体"/>
                <w:color w:val="auto"/>
                <w:kern w:val="0"/>
              </w:rPr>
              <w:t>获国家级体育比赛第1-8名，分别加分：</w:t>
            </w:r>
            <w:r>
              <w:rPr>
                <w:rFonts w:ascii="宋体" w:hAnsi="宋体" w:cs="宋体"/>
                <w:color w:val="auto"/>
                <w:kern w:val="0"/>
              </w:rPr>
              <w:br w:type="textWrapping"/>
            </w:r>
            <w:r>
              <w:rPr>
                <w:rFonts w:hint="eastAsia" w:ascii="宋体" w:hAnsi="宋体" w:cs="宋体"/>
                <w:color w:val="auto"/>
                <w:kern w:val="0"/>
              </w:rPr>
              <w:t>2.8、2.6、2.4、2.2、2.0、1.8、1.6、1.4</w:t>
            </w:r>
          </w:p>
          <w:p w14:paraId="6F3688FC">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 xml:space="preserve">获国家级艺术类比赛（文艺演出等）1-3等奖，分别加分： </w:t>
            </w:r>
            <w:r>
              <w:rPr>
                <w:rFonts w:ascii="宋体" w:hAnsi="宋体" w:cs="宋体"/>
                <w:color w:val="auto"/>
                <w:kern w:val="0"/>
              </w:rPr>
              <w:t>2.</w:t>
            </w:r>
            <w:r>
              <w:rPr>
                <w:rFonts w:hint="eastAsia" w:ascii="宋体" w:hAnsi="宋体" w:cs="宋体"/>
                <w:color w:val="auto"/>
                <w:kern w:val="0"/>
              </w:rPr>
              <w:t>2、1.8、1.4</w:t>
            </w:r>
          </w:p>
          <w:p w14:paraId="57767A1A">
            <w:pPr>
              <w:adjustRightInd w:val="0"/>
              <w:snapToGrid w:val="0"/>
              <w:spacing w:before="100" w:beforeAutospacing="1" w:after="100" w:afterAutospacing="1"/>
              <w:rPr>
                <w:rFonts w:hint="default" w:ascii="宋体" w:hAnsi="宋体" w:cs="宋体"/>
                <w:color w:val="auto"/>
                <w:kern w:val="0"/>
                <w:lang w:val="en-US"/>
              </w:rPr>
            </w:pPr>
            <w:r>
              <w:rPr>
                <w:rFonts w:hint="eastAsia" w:ascii="宋体" w:hAnsi="宋体" w:cs="宋体"/>
                <w:color w:val="auto"/>
                <w:kern w:val="0"/>
              </w:rPr>
              <w:t>获国</w:t>
            </w:r>
            <w:r>
              <w:rPr>
                <w:rFonts w:hint="eastAsia" w:ascii="宋体" w:hAnsi="宋体" w:cs="宋体"/>
                <w:color w:val="auto"/>
                <w:kern w:val="0"/>
                <w:lang w:val="en-US" w:eastAsia="zh-CN"/>
              </w:rPr>
              <w:t>家</w:t>
            </w:r>
            <w:r>
              <w:rPr>
                <w:rFonts w:hint="eastAsia" w:ascii="宋体" w:hAnsi="宋体" w:cs="宋体"/>
                <w:color w:val="auto"/>
                <w:kern w:val="0"/>
              </w:rPr>
              <w:t xml:space="preserve">级人文类比赛（非专业类论文评比或征文比赛、文学等）1-3等奖，分别加分： </w:t>
            </w:r>
            <w:r>
              <w:rPr>
                <w:rFonts w:hint="eastAsia" w:ascii="宋体" w:hAnsi="宋体" w:cs="宋体"/>
                <w:color w:val="auto"/>
                <w:kern w:val="0"/>
                <w:lang w:val="en-US" w:eastAsia="zh-CN"/>
              </w:rPr>
              <w:t>0.8</w:t>
            </w:r>
            <w:r>
              <w:rPr>
                <w:rFonts w:hint="eastAsia" w:ascii="宋体" w:hAnsi="宋体" w:cs="宋体"/>
                <w:color w:val="auto"/>
                <w:kern w:val="0"/>
              </w:rPr>
              <w:t>、</w:t>
            </w:r>
            <w:r>
              <w:rPr>
                <w:rFonts w:hint="eastAsia" w:ascii="宋体" w:hAnsi="宋体" w:cs="宋体"/>
                <w:color w:val="auto"/>
                <w:kern w:val="0"/>
                <w:lang w:val="en-US" w:eastAsia="zh-CN"/>
              </w:rPr>
              <w:t>0</w:t>
            </w:r>
            <w:r>
              <w:rPr>
                <w:rFonts w:hint="eastAsia" w:ascii="宋体" w:hAnsi="宋体" w:cs="宋体"/>
                <w:color w:val="auto"/>
                <w:kern w:val="0"/>
              </w:rPr>
              <w:t>.</w:t>
            </w:r>
            <w:r>
              <w:rPr>
                <w:rFonts w:hint="eastAsia" w:ascii="宋体" w:hAnsi="宋体" w:cs="宋体"/>
                <w:color w:val="auto"/>
                <w:kern w:val="0"/>
                <w:lang w:val="en-US" w:eastAsia="zh-CN"/>
              </w:rPr>
              <w:t>6</w:t>
            </w:r>
            <w:r>
              <w:rPr>
                <w:rFonts w:hint="eastAsia" w:ascii="宋体" w:hAnsi="宋体" w:cs="宋体"/>
                <w:color w:val="auto"/>
                <w:kern w:val="0"/>
              </w:rPr>
              <w:t>、</w:t>
            </w:r>
            <w:r>
              <w:rPr>
                <w:rFonts w:hint="eastAsia" w:ascii="宋体" w:hAnsi="宋体" w:cs="宋体"/>
                <w:color w:val="auto"/>
                <w:kern w:val="0"/>
                <w:lang w:val="en-US" w:eastAsia="zh-CN"/>
              </w:rPr>
              <w:t>0.4</w:t>
            </w:r>
          </w:p>
        </w:tc>
        <w:tc>
          <w:tcPr>
            <w:tcW w:w="1056" w:type="dxa"/>
            <w:noWrap w:val="0"/>
            <w:vAlign w:val="center"/>
          </w:tcPr>
          <w:p w14:paraId="0F18388C">
            <w:pPr>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1.4-2.8</w:t>
            </w:r>
          </w:p>
        </w:tc>
        <w:tc>
          <w:tcPr>
            <w:tcW w:w="975" w:type="dxa"/>
            <w:vMerge w:val="continue"/>
            <w:noWrap w:val="0"/>
            <w:vAlign w:val="center"/>
          </w:tcPr>
          <w:p w14:paraId="0C5A86D1">
            <w:pPr>
              <w:widowControl/>
              <w:adjustRightInd w:val="0"/>
              <w:snapToGrid w:val="0"/>
              <w:spacing w:before="100" w:beforeAutospacing="1" w:after="100" w:afterAutospacing="1"/>
              <w:rPr>
                <w:rFonts w:ascii="宋体" w:hAnsi="宋体" w:cs="宋体"/>
                <w:color w:val="auto"/>
                <w:kern w:val="0"/>
              </w:rPr>
            </w:pPr>
          </w:p>
        </w:tc>
        <w:tc>
          <w:tcPr>
            <w:tcW w:w="4384" w:type="dxa"/>
            <w:vMerge w:val="continue"/>
            <w:noWrap w:val="0"/>
            <w:vAlign w:val="center"/>
          </w:tcPr>
          <w:p w14:paraId="0B5E7E0F">
            <w:pPr>
              <w:widowControl/>
              <w:adjustRightInd w:val="0"/>
              <w:snapToGrid w:val="0"/>
              <w:spacing w:before="100" w:beforeAutospacing="1" w:after="100" w:afterAutospacing="1"/>
              <w:rPr>
                <w:rFonts w:ascii="宋体" w:hAnsi="宋体" w:cs="宋体"/>
                <w:color w:val="auto"/>
                <w:kern w:val="0"/>
              </w:rPr>
            </w:pPr>
          </w:p>
        </w:tc>
      </w:tr>
      <w:tr w14:paraId="4F2E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0" w:type="auto"/>
            <w:vMerge w:val="continue"/>
            <w:noWrap w:val="0"/>
            <w:vAlign w:val="center"/>
          </w:tcPr>
          <w:p w14:paraId="4A14803B">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continue"/>
            <w:noWrap w:val="0"/>
            <w:vAlign w:val="center"/>
          </w:tcPr>
          <w:p w14:paraId="54804337">
            <w:pPr>
              <w:widowControl/>
              <w:adjustRightInd w:val="0"/>
              <w:snapToGrid w:val="0"/>
              <w:spacing w:before="100" w:beforeAutospacing="1" w:after="100" w:afterAutospacing="1"/>
              <w:rPr>
                <w:rFonts w:ascii="宋体" w:hAnsi="宋体" w:cs="宋体"/>
                <w:b/>
                <w:bCs w:val="0"/>
                <w:color w:val="auto"/>
                <w:kern w:val="0"/>
                <w:sz w:val="24"/>
              </w:rPr>
            </w:pPr>
          </w:p>
        </w:tc>
        <w:tc>
          <w:tcPr>
            <w:tcW w:w="2464" w:type="dxa"/>
            <w:vMerge w:val="continue"/>
            <w:noWrap w:val="0"/>
            <w:vAlign w:val="center"/>
          </w:tcPr>
          <w:p w14:paraId="6EE7A4B5">
            <w:pPr>
              <w:widowControl/>
              <w:adjustRightInd w:val="0"/>
              <w:snapToGrid w:val="0"/>
              <w:spacing w:before="100" w:beforeAutospacing="1" w:after="100" w:afterAutospacing="1"/>
              <w:rPr>
                <w:rFonts w:ascii="宋体" w:hAnsi="宋体" w:cs="宋体"/>
                <w:bCs w:val="0"/>
                <w:color w:val="auto"/>
                <w:kern w:val="0"/>
              </w:rPr>
            </w:pPr>
          </w:p>
        </w:tc>
        <w:tc>
          <w:tcPr>
            <w:tcW w:w="5341" w:type="dxa"/>
            <w:noWrap w:val="0"/>
            <w:vAlign w:val="center"/>
          </w:tcPr>
          <w:p w14:paraId="3BF0B3E4">
            <w:pPr>
              <w:adjustRightInd w:val="0"/>
              <w:snapToGrid w:val="0"/>
              <w:spacing w:before="100" w:beforeAutospacing="1" w:after="100" w:afterAutospacing="1"/>
              <w:ind w:right="-32"/>
              <w:rPr>
                <w:rFonts w:hint="eastAsia" w:ascii="宋体" w:hAnsi="宋体" w:cs="宋体"/>
                <w:color w:val="auto"/>
                <w:kern w:val="0"/>
              </w:rPr>
            </w:pPr>
            <w:r>
              <w:rPr>
                <w:rFonts w:hint="eastAsia" w:ascii="宋体" w:hAnsi="宋体" w:cs="宋体"/>
                <w:color w:val="auto"/>
                <w:kern w:val="0"/>
              </w:rPr>
              <w:t>获省市级体育比赛第1-8名，分别加分：</w:t>
            </w:r>
            <w:r>
              <w:rPr>
                <w:rFonts w:ascii="宋体" w:hAnsi="宋体" w:cs="宋体"/>
                <w:color w:val="auto"/>
                <w:kern w:val="0"/>
              </w:rPr>
              <w:br w:type="textWrapping"/>
            </w:r>
            <w:r>
              <w:rPr>
                <w:rFonts w:hint="eastAsia" w:ascii="宋体" w:hAnsi="宋体" w:cs="宋体"/>
                <w:color w:val="auto"/>
                <w:kern w:val="0"/>
              </w:rPr>
              <w:t>1.8、1.6、1.4、1.2、1.0、0.8、0.6、0.4</w:t>
            </w:r>
          </w:p>
          <w:p w14:paraId="3CA40ED6">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获省市级艺术类比赛（文艺演出等）1-3等奖，分别加分： 0.9、0.6、0.3</w:t>
            </w:r>
          </w:p>
          <w:p w14:paraId="231E9BDF">
            <w:pPr>
              <w:adjustRightInd w:val="0"/>
              <w:snapToGrid w:val="0"/>
              <w:spacing w:before="100" w:beforeAutospacing="1" w:after="100" w:afterAutospacing="1"/>
              <w:rPr>
                <w:rFonts w:hint="default" w:ascii="宋体" w:hAnsi="宋体" w:cs="宋体"/>
                <w:color w:val="auto"/>
                <w:kern w:val="0"/>
                <w:lang w:val="en-US"/>
              </w:rPr>
            </w:pPr>
            <w:r>
              <w:rPr>
                <w:rFonts w:hint="eastAsia" w:ascii="宋体" w:hAnsi="宋体" w:cs="宋体"/>
                <w:color w:val="auto"/>
                <w:kern w:val="0"/>
              </w:rPr>
              <w:t xml:space="preserve">获省市级人文类比赛（非专业类论文评比或征文比赛、文学等）1-3等奖，分别加分： </w:t>
            </w:r>
            <w:r>
              <w:rPr>
                <w:rFonts w:hint="eastAsia" w:ascii="宋体" w:hAnsi="宋体" w:cs="宋体"/>
                <w:color w:val="auto"/>
                <w:kern w:val="0"/>
                <w:lang w:val="en-US" w:eastAsia="zh-CN"/>
              </w:rPr>
              <w:t>0.7</w:t>
            </w:r>
            <w:r>
              <w:rPr>
                <w:rFonts w:hint="eastAsia" w:ascii="宋体" w:hAnsi="宋体" w:cs="宋体"/>
                <w:color w:val="auto"/>
                <w:kern w:val="0"/>
              </w:rPr>
              <w:t>、</w:t>
            </w:r>
            <w:r>
              <w:rPr>
                <w:rFonts w:hint="eastAsia" w:ascii="宋体" w:hAnsi="宋体" w:cs="宋体"/>
                <w:color w:val="auto"/>
                <w:kern w:val="0"/>
                <w:lang w:val="en-US" w:eastAsia="zh-CN"/>
              </w:rPr>
              <w:t>0</w:t>
            </w:r>
            <w:r>
              <w:rPr>
                <w:rFonts w:hint="eastAsia" w:ascii="宋体" w:hAnsi="宋体" w:cs="宋体"/>
                <w:color w:val="auto"/>
                <w:kern w:val="0"/>
              </w:rPr>
              <w:t>.</w:t>
            </w:r>
            <w:r>
              <w:rPr>
                <w:rFonts w:hint="eastAsia" w:ascii="宋体" w:hAnsi="宋体" w:cs="宋体"/>
                <w:color w:val="auto"/>
                <w:kern w:val="0"/>
                <w:lang w:val="en-US" w:eastAsia="zh-CN"/>
              </w:rPr>
              <w:t>5</w:t>
            </w:r>
            <w:r>
              <w:rPr>
                <w:rFonts w:hint="eastAsia" w:ascii="宋体" w:hAnsi="宋体" w:cs="宋体"/>
                <w:color w:val="auto"/>
                <w:kern w:val="0"/>
              </w:rPr>
              <w:t>、</w:t>
            </w:r>
            <w:r>
              <w:rPr>
                <w:rFonts w:hint="eastAsia" w:ascii="宋体" w:hAnsi="宋体" w:cs="宋体"/>
                <w:color w:val="auto"/>
                <w:kern w:val="0"/>
                <w:lang w:val="en-US" w:eastAsia="zh-CN"/>
              </w:rPr>
              <w:t>0.3</w:t>
            </w:r>
          </w:p>
        </w:tc>
        <w:tc>
          <w:tcPr>
            <w:tcW w:w="1056" w:type="dxa"/>
            <w:noWrap w:val="0"/>
            <w:vAlign w:val="center"/>
          </w:tcPr>
          <w:p w14:paraId="76C199D9">
            <w:pPr>
              <w:adjustRightInd w:val="0"/>
              <w:snapToGrid w:val="0"/>
              <w:spacing w:before="100" w:beforeAutospacing="1" w:after="100" w:afterAutospacing="1"/>
              <w:rPr>
                <w:rFonts w:ascii="宋体" w:hAnsi="宋体" w:cs="宋体"/>
                <w:bCs w:val="0"/>
                <w:color w:val="auto"/>
                <w:kern w:val="0"/>
              </w:rPr>
            </w:pPr>
            <w:r>
              <w:rPr>
                <w:rFonts w:ascii="宋体" w:hAnsi="宋体" w:cs="宋体"/>
                <w:color w:val="auto"/>
                <w:kern w:val="0"/>
              </w:rPr>
              <w:t>0.</w:t>
            </w:r>
            <w:r>
              <w:rPr>
                <w:rFonts w:hint="eastAsia" w:ascii="宋体" w:hAnsi="宋体" w:cs="宋体"/>
                <w:color w:val="auto"/>
                <w:kern w:val="0"/>
              </w:rPr>
              <w:t>3-</w:t>
            </w:r>
            <w:r>
              <w:rPr>
                <w:rFonts w:ascii="宋体" w:hAnsi="宋体" w:cs="宋体"/>
                <w:color w:val="auto"/>
                <w:kern w:val="0"/>
              </w:rPr>
              <w:t>1.8</w:t>
            </w:r>
          </w:p>
        </w:tc>
        <w:tc>
          <w:tcPr>
            <w:tcW w:w="975" w:type="dxa"/>
            <w:vMerge w:val="continue"/>
            <w:noWrap w:val="0"/>
            <w:vAlign w:val="center"/>
          </w:tcPr>
          <w:p w14:paraId="23AC1B85">
            <w:pPr>
              <w:widowControl/>
              <w:adjustRightInd w:val="0"/>
              <w:snapToGrid w:val="0"/>
              <w:spacing w:before="100" w:beforeAutospacing="1" w:after="100" w:afterAutospacing="1"/>
              <w:rPr>
                <w:rFonts w:ascii="宋体" w:hAnsi="宋体" w:cs="宋体"/>
                <w:color w:val="auto"/>
                <w:kern w:val="0"/>
              </w:rPr>
            </w:pPr>
          </w:p>
        </w:tc>
        <w:tc>
          <w:tcPr>
            <w:tcW w:w="4384" w:type="dxa"/>
            <w:vMerge w:val="continue"/>
            <w:noWrap w:val="0"/>
            <w:vAlign w:val="center"/>
          </w:tcPr>
          <w:p w14:paraId="0AA38EE7">
            <w:pPr>
              <w:widowControl/>
              <w:adjustRightInd w:val="0"/>
              <w:snapToGrid w:val="0"/>
              <w:spacing w:before="100" w:beforeAutospacing="1" w:after="100" w:afterAutospacing="1"/>
              <w:rPr>
                <w:rFonts w:ascii="宋体" w:hAnsi="宋体" w:cs="宋体"/>
                <w:color w:val="auto"/>
                <w:kern w:val="0"/>
              </w:rPr>
            </w:pPr>
          </w:p>
        </w:tc>
      </w:tr>
      <w:tr w14:paraId="7567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0" w:type="auto"/>
            <w:vMerge w:val="continue"/>
            <w:noWrap w:val="0"/>
            <w:vAlign w:val="center"/>
          </w:tcPr>
          <w:p w14:paraId="0E60F93F">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continue"/>
            <w:noWrap w:val="0"/>
            <w:vAlign w:val="center"/>
          </w:tcPr>
          <w:p w14:paraId="04C850A7">
            <w:pPr>
              <w:widowControl/>
              <w:adjustRightInd w:val="0"/>
              <w:snapToGrid w:val="0"/>
              <w:spacing w:before="100" w:beforeAutospacing="1" w:after="100" w:afterAutospacing="1"/>
              <w:rPr>
                <w:rFonts w:ascii="宋体" w:hAnsi="宋体" w:cs="宋体"/>
                <w:b/>
                <w:bCs w:val="0"/>
                <w:color w:val="auto"/>
                <w:kern w:val="0"/>
                <w:sz w:val="24"/>
              </w:rPr>
            </w:pPr>
          </w:p>
        </w:tc>
        <w:tc>
          <w:tcPr>
            <w:tcW w:w="2464" w:type="dxa"/>
            <w:vMerge w:val="continue"/>
            <w:noWrap w:val="0"/>
            <w:vAlign w:val="center"/>
          </w:tcPr>
          <w:p w14:paraId="336A2B49">
            <w:pPr>
              <w:widowControl/>
              <w:adjustRightInd w:val="0"/>
              <w:snapToGrid w:val="0"/>
              <w:spacing w:before="100" w:beforeAutospacing="1" w:after="100" w:afterAutospacing="1"/>
              <w:rPr>
                <w:rFonts w:ascii="宋体" w:hAnsi="宋体" w:cs="宋体"/>
                <w:bCs w:val="0"/>
                <w:color w:val="auto"/>
                <w:kern w:val="0"/>
              </w:rPr>
            </w:pPr>
          </w:p>
        </w:tc>
        <w:tc>
          <w:tcPr>
            <w:tcW w:w="5341" w:type="dxa"/>
            <w:noWrap w:val="0"/>
            <w:vAlign w:val="center"/>
          </w:tcPr>
          <w:p w14:paraId="1AE9854A">
            <w:pPr>
              <w:adjustRightInd w:val="0"/>
              <w:snapToGrid w:val="0"/>
              <w:spacing w:before="100" w:beforeAutospacing="1" w:after="100" w:afterAutospacing="1"/>
              <w:ind w:right="-32"/>
              <w:rPr>
                <w:rFonts w:hint="eastAsia" w:ascii="宋体" w:hAnsi="宋体" w:cs="宋体"/>
                <w:color w:val="auto"/>
                <w:kern w:val="0"/>
              </w:rPr>
            </w:pPr>
            <w:r>
              <w:rPr>
                <w:rFonts w:hint="eastAsia" w:ascii="宋体" w:hAnsi="宋体" w:cs="宋体"/>
                <w:color w:val="auto"/>
                <w:kern w:val="0"/>
              </w:rPr>
              <w:t>获校级（校区级）体育比赛第1-8名，分别加分：</w:t>
            </w:r>
            <w:r>
              <w:rPr>
                <w:rFonts w:ascii="宋体" w:hAnsi="宋体" w:cs="宋体"/>
                <w:color w:val="auto"/>
                <w:kern w:val="0"/>
              </w:rPr>
              <w:br w:type="textWrapping"/>
            </w:r>
            <w:r>
              <w:rPr>
                <w:rFonts w:ascii="宋体" w:hAnsi="宋体" w:cs="宋体"/>
                <w:color w:val="auto"/>
                <w:kern w:val="0"/>
              </w:rPr>
              <w:t>1.</w:t>
            </w:r>
            <w:r>
              <w:rPr>
                <w:rFonts w:hint="eastAsia" w:ascii="宋体" w:hAnsi="宋体" w:cs="宋体"/>
                <w:color w:val="auto"/>
                <w:kern w:val="0"/>
              </w:rPr>
              <w:t>0、0.9、0.8、</w:t>
            </w:r>
            <w:r>
              <w:rPr>
                <w:rFonts w:ascii="宋体" w:hAnsi="宋体" w:cs="宋体"/>
                <w:color w:val="auto"/>
                <w:kern w:val="0"/>
              </w:rPr>
              <w:t>0.</w:t>
            </w:r>
            <w:r>
              <w:rPr>
                <w:rFonts w:hint="eastAsia" w:ascii="宋体" w:hAnsi="宋体" w:cs="宋体"/>
                <w:color w:val="auto"/>
                <w:kern w:val="0"/>
              </w:rPr>
              <w:t>7、</w:t>
            </w:r>
            <w:r>
              <w:rPr>
                <w:rFonts w:ascii="宋体" w:hAnsi="宋体" w:cs="宋体"/>
                <w:color w:val="auto"/>
                <w:kern w:val="0"/>
              </w:rPr>
              <w:t>0.</w:t>
            </w:r>
            <w:r>
              <w:rPr>
                <w:rFonts w:hint="eastAsia" w:ascii="宋体" w:hAnsi="宋体" w:cs="宋体"/>
                <w:color w:val="auto"/>
                <w:kern w:val="0"/>
              </w:rPr>
              <w:t>6、0.5、0.4、0.3</w:t>
            </w:r>
          </w:p>
          <w:p w14:paraId="4FC3211C">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获校级（校区级）艺术类比赛（文艺演出等）1-3等奖，分别加分： 0.6、0.4、0.2</w:t>
            </w:r>
          </w:p>
          <w:p w14:paraId="40131EEE">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获校级（校区级）人文类比赛（非专业类论文评比或征文比赛、文学等）1-3等奖，分别加分： 0.6、0.4、0.2</w:t>
            </w:r>
          </w:p>
        </w:tc>
        <w:tc>
          <w:tcPr>
            <w:tcW w:w="1056" w:type="dxa"/>
            <w:noWrap w:val="0"/>
            <w:vAlign w:val="center"/>
          </w:tcPr>
          <w:p w14:paraId="5CEF3022">
            <w:pPr>
              <w:widowControl/>
              <w:adjustRightInd w:val="0"/>
              <w:snapToGrid w:val="0"/>
              <w:spacing w:before="100" w:beforeAutospacing="1" w:after="100" w:afterAutospacing="1"/>
              <w:rPr>
                <w:rFonts w:hint="eastAsia" w:ascii="宋体" w:hAnsi="宋体" w:cs="宋体"/>
                <w:bCs w:val="0"/>
                <w:color w:val="auto"/>
                <w:kern w:val="0"/>
              </w:rPr>
            </w:pPr>
            <w:r>
              <w:rPr>
                <w:rFonts w:ascii="宋体" w:hAnsi="宋体" w:cs="宋体"/>
                <w:color w:val="auto"/>
                <w:kern w:val="0"/>
              </w:rPr>
              <w:t>0.2</w:t>
            </w:r>
            <w:r>
              <w:rPr>
                <w:rFonts w:hint="eastAsia" w:ascii="宋体" w:hAnsi="宋体" w:cs="宋体"/>
                <w:color w:val="auto"/>
                <w:kern w:val="0"/>
              </w:rPr>
              <w:t>-</w:t>
            </w:r>
            <w:r>
              <w:rPr>
                <w:rFonts w:ascii="宋体" w:hAnsi="宋体" w:cs="宋体"/>
                <w:color w:val="auto"/>
                <w:kern w:val="0"/>
              </w:rPr>
              <w:t>1.</w:t>
            </w:r>
            <w:r>
              <w:rPr>
                <w:rFonts w:hint="eastAsia" w:ascii="宋体" w:hAnsi="宋体" w:cs="宋体"/>
                <w:color w:val="auto"/>
                <w:kern w:val="0"/>
              </w:rPr>
              <w:t>0</w:t>
            </w:r>
          </w:p>
        </w:tc>
        <w:tc>
          <w:tcPr>
            <w:tcW w:w="975" w:type="dxa"/>
            <w:vMerge w:val="continue"/>
            <w:noWrap w:val="0"/>
            <w:vAlign w:val="center"/>
          </w:tcPr>
          <w:p w14:paraId="7EA086DE">
            <w:pPr>
              <w:widowControl/>
              <w:adjustRightInd w:val="0"/>
              <w:snapToGrid w:val="0"/>
              <w:spacing w:before="100" w:beforeAutospacing="1" w:after="100" w:afterAutospacing="1"/>
              <w:rPr>
                <w:rFonts w:ascii="宋体" w:hAnsi="宋体" w:cs="宋体"/>
                <w:color w:val="auto"/>
                <w:kern w:val="0"/>
              </w:rPr>
            </w:pPr>
          </w:p>
        </w:tc>
        <w:tc>
          <w:tcPr>
            <w:tcW w:w="4384" w:type="dxa"/>
            <w:vMerge w:val="continue"/>
            <w:noWrap w:val="0"/>
            <w:vAlign w:val="center"/>
          </w:tcPr>
          <w:p w14:paraId="702A17B3">
            <w:pPr>
              <w:widowControl/>
              <w:adjustRightInd w:val="0"/>
              <w:snapToGrid w:val="0"/>
              <w:spacing w:before="100" w:beforeAutospacing="1" w:after="100" w:afterAutospacing="1"/>
              <w:rPr>
                <w:rFonts w:ascii="宋体" w:hAnsi="宋体" w:cs="宋体"/>
                <w:color w:val="auto"/>
                <w:kern w:val="0"/>
              </w:rPr>
            </w:pPr>
          </w:p>
        </w:tc>
      </w:tr>
      <w:tr w14:paraId="0E3C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0" w:type="auto"/>
            <w:vMerge w:val="continue"/>
            <w:noWrap w:val="0"/>
            <w:vAlign w:val="center"/>
          </w:tcPr>
          <w:p w14:paraId="3AE88704">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continue"/>
            <w:noWrap w:val="0"/>
            <w:vAlign w:val="center"/>
          </w:tcPr>
          <w:p w14:paraId="38DD18BA">
            <w:pPr>
              <w:widowControl/>
              <w:adjustRightInd w:val="0"/>
              <w:snapToGrid w:val="0"/>
              <w:spacing w:before="100" w:beforeAutospacing="1" w:after="100" w:afterAutospacing="1"/>
              <w:rPr>
                <w:rFonts w:ascii="宋体" w:hAnsi="宋体" w:cs="宋体"/>
                <w:b/>
                <w:bCs w:val="0"/>
                <w:color w:val="auto"/>
                <w:kern w:val="0"/>
                <w:sz w:val="24"/>
              </w:rPr>
            </w:pPr>
          </w:p>
        </w:tc>
        <w:tc>
          <w:tcPr>
            <w:tcW w:w="2464" w:type="dxa"/>
            <w:vMerge w:val="continue"/>
            <w:noWrap w:val="0"/>
            <w:vAlign w:val="center"/>
          </w:tcPr>
          <w:p w14:paraId="3DC7D162">
            <w:pPr>
              <w:widowControl/>
              <w:adjustRightInd w:val="0"/>
              <w:snapToGrid w:val="0"/>
              <w:spacing w:before="100" w:beforeAutospacing="1" w:after="100" w:afterAutospacing="1"/>
              <w:rPr>
                <w:rFonts w:ascii="宋体" w:hAnsi="宋体" w:cs="宋体"/>
                <w:bCs w:val="0"/>
                <w:color w:val="auto"/>
                <w:kern w:val="0"/>
              </w:rPr>
            </w:pPr>
          </w:p>
        </w:tc>
        <w:tc>
          <w:tcPr>
            <w:tcW w:w="5341" w:type="dxa"/>
            <w:noWrap w:val="0"/>
            <w:vAlign w:val="center"/>
          </w:tcPr>
          <w:p w14:paraId="7F8A12B2">
            <w:pPr>
              <w:adjustRightInd w:val="0"/>
              <w:snapToGrid w:val="0"/>
              <w:spacing w:before="100" w:beforeAutospacing="1" w:after="100" w:afterAutospacing="1"/>
              <w:ind w:right="-32"/>
              <w:rPr>
                <w:rFonts w:hint="eastAsia" w:ascii="宋体" w:hAnsi="宋体" w:cs="宋体"/>
                <w:color w:val="auto"/>
                <w:kern w:val="0"/>
              </w:rPr>
            </w:pPr>
            <w:r>
              <w:rPr>
                <w:rFonts w:hint="eastAsia" w:ascii="宋体" w:hAnsi="宋体" w:cs="宋体"/>
                <w:color w:val="auto"/>
                <w:kern w:val="0"/>
              </w:rPr>
              <w:t>获院级体育比赛第1-8名，分别加分：</w:t>
            </w:r>
            <w:r>
              <w:rPr>
                <w:rFonts w:ascii="宋体" w:hAnsi="宋体" w:cs="宋体"/>
                <w:color w:val="auto"/>
                <w:kern w:val="0"/>
              </w:rPr>
              <w:br w:type="textWrapping"/>
            </w:r>
            <w:r>
              <w:rPr>
                <w:rFonts w:hint="eastAsia" w:ascii="宋体" w:hAnsi="宋体" w:cs="宋体"/>
                <w:color w:val="auto"/>
                <w:kern w:val="0"/>
              </w:rPr>
              <w:t>0.8、0.7、0.6、0.5、0.4、0.3、0.2、0.1</w:t>
            </w:r>
          </w:p>
          <w:p w14:paraId="53C72666">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获院级艺术类比赛（文艺演出等）1-3等奖，分别加分： 0.</w:t>
            </w:r>
            <w:r>
              <w:rPr>
                <w:rFonts w:ascii="宋体" w:hAnsi="宋体" w:cs="宋体"/>
                <w:color w:val="auto"/>
                <w:kern w:val="0"/>
              </w:rPr>
              <w:t>4</w:t>
            </w:r>
            <w:r>
              <w:rPr>
                <w:rFonts w:hint="eastAsia" w:ascii="宋体" w:hAnsi="宋体" w:cs="宋体"/>
                <w:color w:val="auto"/>
                <w:kern w:val="0"/>
              </w:rPr>
              <w:t>、0.</w:t>
            </w:r>
            <w:r>
              <w:rPr>
                <w:rFonts w:ascii="宋体" w:hAnsi="宋体" w:cs="宋体"/>
                <w:color w:val="auto"/>
                <w:kern w:val="0"/>
              </w:rPr>
              <w:t>2</w:t>
            </w:r>
            <w:r>
              <w:rPr>
                <w:rFonts w:hint="eastAsia" w:ascii="宋体" w:hAnsi="宋体" w:cs="宋体"/>
                <w:color w:val="auto"/>
                <w:kern w:val="0"/>
              </w:rPr>
              <w:t>、0.</w:t>
            </w:r>
            <w:r>
              <w:rPr>
                <w:rFonts w:ascii="宋体" w:hAnsi="宋体" w:cs="宋体"/>
                <w:color w:val="auto"/>
                <w:kern w:val="0"/>
              </w:rPr>
              <w:t>1</w:t>
            </w:r>
          </w:p>
          <w:p w14:paraId="6E212690">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获院级人文类比赛（非专业类论文评比或征文比赛、文学等）1-3等奖，分别加分： 0.</w:t>
            </w:r>
            <w:r>
              <w:rPr>
                <w:rFonts w:ascii="宋体" w:hAnsi="宋体" w:cs="宋体"/>
                <w:color w:val="auto"/>
                <w:kern w:val="0"/>
              </w:rPr>
              <w:t>4</w:t>
            </w:r>
            <w:r>
              <w:rPr>
                <w:rFonts w:hint="eastAsia" w:ascii="宋体" w:hAnsi="宋体" w:cs="宋体"/>
                <w:color w:val="auto"/>
                <w:kern w:val="0"/>
              </w:rPr>
              <w:t>、0.</w:t>
            </w:r>
            <w:r>
              <w:rPr>
                <w:rFonts w:ascii="宋体" w:hAnsi="宋体" w:cs="宋体"/>
                <w:color w:val="auto"/>
                <w:kern w:val="0"/>
              </w:rPr>
              <w:t>2</w:t>
            </w:r>
            <w:r>
              <w:rPr>
                <w:rFonts w:hint="eastAsia" w:ascii="宋体" w:hAnsi="宋体" w:cs="宋体"/>
                <w:color w:val="auto"/>
                <w:kern w:val="0"/>
              </w:rPr>
              <w:t>、0.</w:t>
            </w:r>
            <w:r>
              <w:rPr>
                <w:rFonts w:ascii="宋体" w:hAnsi="宋体" w:cs="宋体"/>
                <w:color w:val="auto"/>
                <w:kern w:val="0"/>
              </w:rPr>
              <w:t>1</w:t>
            </w:r>
          </w:p>
        </w:tc>
        <w:tc>
          <w:tcPr>
            <w:tcW w:w="1056" w:type="dxa"/>
            <w:noWrap w:val="0"/>
            <w:vAlign w:val="center"/>
          </w:tcPr>
          <w:p w14:paraId="2C643ED2">
            <w:pPr>
              <w:widowControl/>
              <w:adjustRightInd w:val="0"/>
              <w:snapToGrid w:val="0"/>
              <w:spacing w:before="100" w:beforeAutospacing="1" w:after="100" w:afterAutospacing="1"/>
              <w:rPr>
                <w:rFonts w:hint="eastAsia" w:ascii="宋体" w:hAnsi="宋体" w:cs="宋体"/>
                <w:bCs w:val="0"/>
                <w:color w:val="auto"/>
                <w:kern w:val="0"/>
              </w:rPr>
            </w:pPr>
            <w:r>
              <w:rPr>
                <w:rFonts w:ascii="宋体" w:hAnsi="宋体" w:cs="宋体"/>
                <w:color w:val="auto"/>
                <w:kern w:val="0"/>
              </w:rPr>
              <w:t>0.1</w:t>
            </w:r>
            <w:r>
              <w:rPr>
                <w:rFonts w:hint="eastAsia" w:ascii="宋体" w:hAnsi="宋体" w:cs="宋体"/>
                <w:color w:val="auto"/>
                <w:kern w:val="0"/>
              </w:rPr>
              <w:t>-</w:t>
            </w:r>
            <w:r>
              <w:rPr>
                <w:rFonts w:ascii="宋体" w:hAnsi="宋体" w:cs="宋体"/>
                <w:color w:val="auto"/>
                <w:kern w:val="0"/>
              </w:rPr>
              <w:t>0.8</w:t>
            </w:r>
          </w:p>
        </w:tc>
        <w:tc>
          <w:tcPr>
            <w:tcW w:w="975" w:type="dxa"/>
            <w:vMerge w:val="continue"/>
            <w:noWrap w:val="0"/>
            <w:vAlign w:val="center"/>
          </w:tcPr>
          <w:p w14:paraId="0321E4E3">
            <w:pPr>
              <w:widowControl/>
              <w:adjustRightInd w:val="0"/>
              <w:snapToGrid w:val="0"/>
              <w:spacing w:before="100" w:beforeAutospacing="1" w:after="100" w:afterAutospacing="1"/>
              <w:rPr>
                <w:rFonts w:ascii="宋体" w:hAnsi="宋体" w:cs="宋体"/>
                <w:color w:val="auto"/>
                <w:kern w:val="0"/>
              </w:rPr>
            </w:pPr>
          </w:p>
        </w:tc>
        <w:tc>
          <w:tcPr>
            <w:tcW w:w="4384" w:type="dxa"/>
            <w:vMerge w:val="continue"/>
            <w:noWrap w:val="0"/>
            <w:vAlign w:val="center"/>
          </w:tcPr>
          <w:p w14:paraId="7EBE8A7B">
            <w:pPr>
              <w:widowControl/>
              <w:adjustRightInd w:val="0"/>
              <w:snapToGrid w:val="0"/>
              <w:spacing w:before="100" w:beforeAutospacing="1" w:after="100" w:afterAutospacing="1"/>
              <w:rPr>
                <w:rFonts w:ascii="宋体" w:hAnsi="宋体" w:cs="宋体"/>
                <w:color w:val="auto"/>
                <w:kern w:val="0"/>
              </w:rPr>
            </w:pPr>
          </w:p>
        </w:tc>
      </w:tr>
      <w:tr w14:paraId="5725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0" w:type="auto"/>
            <w:vMerge w:val="continue"/>
            <w:noWrap w:val="0"/>
            <w:vAlign w:val="center"/>
          </w:tcPr>
          <w:p w14:paraId="056CE954">
            <w:pPr>
              <w:widowControl/>
              <w:adjustRightInd w:val="0"/>
              <w:snapToGrid w:val="0"/>
              <w:spacing w:before="100" w:beforeAutospacing="1" w:after="100" w:afterAutospacing="1"/>
              <w:rPr>
                <w:rFonts w:ascii="宋体" w:hAnsi="宋体" w:cs="宋体"/>
                <w:b/>
                <w:bCs w:val="0"/>
                <w:color w:val="auto"/>
                <w:kern w:val="0"/>
                <w:sz w:val="24"/>
              </w:rPr>
            </w:pPr>
          </w:p>
        </w:tc>
        <w:tc>
          <w:tcPr>
            <w:tcW w:w="0" w:type="auto"/>
            <w:vMerge w:val="continue"/>
            <w:noWrap w:val="0"/>
            <w:vAlign w:val="center"/>
          </w:tcPr>
          <w:p w14:paraId="3357E082">
            <w:pPr>
              <w:widowControl/>
              <w:adjustRightInd w:val="0"/>
              <w:snapToGrid w:val="0"/>
              <w:spacing w:before="100" w:beforeAutospacing="1" w:after="100" w:afterAutospacing="1"/>
              <w:rPr>
                <w:rFonts w:ascii="宋体" w:hAnsi="宋体" w:cs="宋体"/>
                <w:b/>
                <w:bCs w:val="0"/>
                <w:color w:val="auto"/>
                <w:kern w:val="0"/>
                <w:sz w:val="24"/>
              </w:rPr>
            </w:pPr>
          </w:p>
        </w:tc>
        <w:tc>
          <w:tcPr>
            <w:tcW w:w="2464" w:type="dxa"/>
            <w:vMerge w:val="continue"/>
            <w:noWrap w:val="0"/>
            <w:vAlign w:val="center"/>
          </w:tcPr>
          <w:p w14:paraId="69468A35">
            <w:pPr>
              <w:widowControl/>
              <w:adjustRightInd w:val="0"/>
              <w:snapToGrid w:val="0"/>
              <w:spacing w:before="100" w:beforeAutospacing="1" w:after="100" w:afterAutospacing="1"/>
              <w:rPr>
                <w:rFonts w:ascii="宋体" w:hAnsi="宋体" w:cs="宋体"/>
                <w:bCs w:val="0"/>
                <w:color w:val="auto"/>
                <w:kern w:val="0"/>
              </w:rPr>
            </w:pPr>
          </w:p>
        </w:tc>
        <w:tc>
          <w:tcPr>
            <w:tcW w:w="5341" w:type="dxa"/>
            <w:noWrap w:val="0"/>
            <w:vAlign w:val="center"/>
          </w:tcPr>
          <w:p w14:paraId="2E6FBFFD">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参加各级重要文艺演出获优秀奖或演出没有设立奖项的演员</w:t>
            </w:r>
          </w:p>
          <w:p w14:paraId="7505786F">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国家级为</w:t>
            </w:r>
            <w:r>
              <w:rPr>
                <w:rFonts w:ascii="宋体" w:hAnsi="宋体" w:cs="宋体"/>
                <w:color w:val="auto"/>
                <w:kern w:val="0"/>
              </w:rPr>
              <w:t>0.3</w:t>
            </w:r>
            <w:r>
              <w:rPr>
                <w:rFonts w:hint="eastAsia" w:ascii="宋体" w:hAnsi="宋体" w:cs="宋体"/>
                <w:color w:val="auto"/>
                <w:kern w:val="0"/>
              </w:rPr>
              <w:t>分；省市级为</w:t>
            </w:r>
            <w:r>
              <w:rPr>
                <w:rFonts w:ascii="宋体" w:hAnsi="宋体" w:cs="宋体"/>
                <w:color w:val="auto"/>
                <w:kern w:val="0"/>
              </w:rPr>
              <w:t>0.2</w:t>
            </w:r>
            <w:r>
              <w:rPr>
                <w:rFonts w:hint="eastAsia" w:ascii="宋体" w:hAnsi="宋体" w:cs="宋体"/>
                <w:color w:val="auto"/>
                <w:kern w:val="0"/>
              </w:rPr>
              <w:t>；校级为</w:t>
            </w:r>
            <w:r>
              <w:rPr>
                <w:rFonts w:ascii="宋体" w:hAnsi="宋体" w:cs="宋体"/>
                <w:color w:val="auto"/>
                <w:kern w:val="0"/>
              </w:rPr>
              <w:t>0.1</w:t>
            </w:r>
            <w:r>
              <w:rPr>
                <w:rFonts w:hint="eastAsia" w:ascii="宋体" w:hAnsi="宋体" w:cs="宋体"/>
                <w:color w:val="auto"/>
                <w:kern w:val="0"/>
              </w:rPr>
              <w:t>。</w:t>
            </w:r>
          </w:p>
        </w:tc>
        <w:tc>
          <w:tcPr>
            <w:tcW w:w="1056" w:type="dxa"/>
            <w:noWrap w:val="0"/>
            <w:vAlign w:val="center"/>
          </w:tcPr>
          <w:p w14:paraId="40765926">
            <w:pPr>
              <w:widowControl/>
              <w:adjustRightInd w:val="0"/>
              <w:snapToGrid w:val="0"/>
              <w:spacing w:before="100" w:beforeAutospacing="1" w:after="100" w:afterAutospacing="1"/>
              <w:rPr>
                <w:rFonts w:hint="eastAsia" w:ascii="宋体" w:hAnsi="宋体" w:cs="宋体"/>
                <w:bCs w:val="0"/>
                <w:color w:val="auto"/>
                <w:kern w:val="0"/>
              </w:rPr>
            </w:pPr>
            <w:r>
              <w:rPr>
                <w:rFonts w:ascii="宋体" w:hAnsi="宋体" w:cs="宋体"/>
                <w:color w:val="auto"/>
                <w:kern w:val="0"/>
              </w:rPr>
              <w:t>0.</w:t>
            </w:r>
            <w:r>
              <w:rPr>
                <w:rFonts w:hint="eastAsia" w:ascii="宋体" w:hAnsi="宋体" w:cs="宋体"/>
                <w:color w:val="auto"/>
                <w:kern w:val="0"/>
              </w:rPr>
              <w:t>1-</w:t>
            </w:r>
            <w:r>
              <w:rPr>
                <w:rFonts w:ascii="宋体" w:hAnsi="宋体" w:cs="宋体"/>
                <w:color w:val="auto"/>
                <w:kern w:val="0"/>
              </w:rPr>
              <w:t>0.</w:t>
            </w:r>
            <w:r>
              <w:rPr>
                <w:rFonts w:hint="eastAsia" w:ascii="宋体" w:hAnsi="宋体" w:cs="宋体"/>
                <w:color w:val="auto"/>
                <w:kern w:val="0"/>
              </w:rPr>
              <w:t>3</w:t>
            </w:r>
          </w:p>
        </w:tc>
        <w:tc>
          <w:tcPr>
            <w:tcW w:w="975" w:type="dxa"/>
            <w:vMerge w:val="continue"/>
            <w:noWrap w:val="0"/>
            <w:vAlign w:val="center"/>
          </w:tcPr>
          <w:p w14:paraId="43460902">
            <w:pPr>
              <w:widowControl/>
              <w:adjustRightInd w:val="0"/>
              <w:snapToGrid w:val="0"/>
              <w:spacing w:before="100" w:beforeAutospacing="1" w:after="100" w:afterAutospacing="1"/>
              <w:rPr>
                <w:rFonts w:ascii="宋体" w:hAnsi="宋体" w:cs="宋体"/>
                <w:color w:val="auto"/>
                <w:kern w:val="0"/>
              </w:rPr>
            </w:pPr>
          </w:p>
        </w:tc>
        <w:tc>
          <w:tcPr>
            <w:tcW w:w="4384" w:type="dxa"/>
            <w:vMerge w:val="continue"/>
            <w:noWrap w:val="0"/>
            <w:vAlign w:val="center"/>
          </w:tcPr>
          <w:p w14:paraId="68A162CF">
            <w:pPr>
              <w:widowControl/>
              <w:adjustRightInd w:val="0"/>
              <w:snapToGrid w:val="0"/>
              <w:spacing w:before="100" w:beforeAutospacing="1" w:after="100" w:afterAutospacing="1"/>
              <w:rPr>
                <w:rFonts w:ascii="宋体" w:hAnsi="宋体" w:cs="宋体"/>
                <w:color w:val="auto"/>
                <w:kern w:val="0"/>
              </w:rPr>
            </w:pPr>
          </w:p>
        </w:tc>
      </w:tr>
      <w:tr w14:paraId="2AAD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0" w:type="auto"/>
            <w:vMerge w:val="restart"/>
            <w:noWrap w:val="0"/>
            <w:vAlign w:val="center"/>
          </w:tcPr>
          <w:p w14:paraId="02F44A0C">
            <w:pPr>
              <w:adjustRightInd w:val="0"/>
              <w:snapToGrid w:val="0"/>
              <w:spacing w:before="100" w:beforeAutospacing="1" w:after="100" w:afterAutospacing="1"/>
              <w:rPr>
                <w:rFonts w:hint="eastAsia" w:ascii="宋体" w:hAnsi="宋体" w:cs="宋体"/>
                <w:b/>
                <w:color w:val="auto"/>
                <w:kern w:val="0"/>
                <w:sz w:val="24"/>
              </w:rPr>
            </w:pPr>
          </w:p>
          <w:p w14:paraId="5AD20098">
            <w:pPr>
              <w:adjustRightInd w:val="0"/>
              <w:snapToGrid w:val="0"/>
              <w:spacing w:before="100" w:beforeAutospacing="1" w:after="100" w:afterAutospacing="1"/>
              <w:rPr>
                <w:rFonts w:hint="eastAsia" w:ascii="宋体" w:hAnsi="宋体" w:cs="宋体"/>
                <w:b/>
                <w:color w:val="auto"/>
                <w:kern w:val="0"/>
                <w:sz w:val="24"/>
              </w:rPr>
            </w:pPr>
          </w:p>
          <w:p w14:paraId="255AA297">
            <w:pPr>
              <w:adjustRightInd w:val="0"/>
              <w:snapToGrid w:val="0"/>
              <w:spacing w:before="100" w:beforeAutospacing="1" w:after="100" w:afterAutospacing="1"/>
              <w:rPr>
                <w:rFonts w:ascii="宋体" w:hAnsi="宋体" w:cs="宋体"/>
                <w:b/>
                <w:bCs w:val="0"/>
                <w:color w:val="auto"/>
                <w:kern w:val="0"/>
                <w:sz w:val="24"/>
              </w:rPr>
            </w:pPr>
            <w:r>
              <w:rPr>
                <w:rFonts w:hint="eastAsia" w:ascii="宋体" w:hAnsi="宋体" w:cs="宋体"/>
                <w:b/>
                <w:color w:val="auto"/>
                <w:kern w:val="0"/>
                <w:sz w:val="24"/>
              </w:rPr>
              <w:t>领袖气质</w:t>
            </w:r>
          </w:p>
        </w:tc>
        <w:tc>
          <w:tcPr>
            <w:tcW w:w="0" w:type="auto"/>
            <w:noWrap w:val="0"/>
            <w:vAlign w:val="center"/>
          </w:tcPr>
          <w:p w14:paraId="5A108D31">
            <w:pPr>
              <w:shd w:val="clear" w:color="auto" w:fill="FFFFFF"/>
              <w:spacing w:line="330" w:lineRule="atLeast"/>
              <w:rPr>
                <w:rFonts w:ascii="宋体" w:hAnsi="宋体"/>
                <w:b/>
                <w:color w:val="auto"/>
                <w:sz w:val="24"/>
              </w:rPr>
            </w:pPr>
            <w:r>
              <w:rPr>
                <w:rFonts w:hint="eastAsia" w:ascii="宋体" w:hAnsi="宋体"/>
                <w:b/>
                <w:color w:val="auto"/>
                <w:sz w:val="24"/>
              </w:rPr>
              <w:t>追求卓越</w:t>
            </w:r>
          </w:p>
          <w:p w14:paraId="461EC469">
            <w:pPr>
              <w:widowControl/>
              <w:adjustRightInd w:val="0"/>
              <w:snapToGrid w:val="0"/>
              <w:spacing w:before="100" w:beforeAutospacing="1" w:after="100" w:afterAutospacing="1"/>
              <w:rPr>
                <w:rFonts w:ascii="宋体" w:hAnsi="宋体" w:cs="宋体"/>
                <w:b/>
                <w:color w:val="auto"/>
                <w:kern w:val="0"/>
                <w:sz w:val="24"/>
              </w:rPr>
            </w:pPr>
          </w:p>
        </w:tc>
        <w:tc>
          <w:tcPr>
            <w:tcW w:w="2464" w:type="dxa"/>
            <w:noWrap w:val="0"/>
            <w:vAlign w:val="center"/>
          </w:tcPr>
          <w:p w14:paraId="712B5E4D">
            <w:pPr>
              <w:rPr>
                <w:rFonts w:ascii="宋体" w:hAnsi="宋体" w:cs="宋体"/>
                <w:bCs w:val="0"/>
                <w:color w:val="auto"/>
                <w:kern w:val="0"/>
              </w:rPr>
            </w:pPr>
            <w:r>
              <w:rPr>
                <w:rFonts w:hint="eastAsia" w:ascii="宋体" w:hAnsi="宋体" w:cs="宋体"/>
                <w:color w:val="auto"/>
                <w:kern w:val="0"/>
              </w:rPr>
              <w:t>1）严格要求自己，具有较好的自我管理能力；</w:t>
            </w:r>
          </w:p>
          <w:p w14:paraId="28063EC9">
            <w:pPr>
              <w:rPr>
                <w:rFonts w:ascii="宋体" w:hAnsi="宋体" w:cs="宋体"/>
                <w:color w:val="auto"/>
                <w:kern w:val="0"/>
              </w:rPr>
            </w:pPr>
            <w:r>
              <w:rPr>
                <w:rFonts w:hint="eastAsia" w:ascii="宋体" w:hAnsi="宋体" w:cs="宋体"/>
                <w:color w:val="auto"/>
                <w:kern w:val="0"/>
              </w:rPr>
              <w:t>2）获得院级及以上的优秀个人荣誉等；</w:t>
            </w:r>
          </w:p>
        </w:tc>
        <w:tc>
          <w:tcPr>
            <w:tcW w:w="5341" w:type="dxa"/>
            <w:noWrap w:val="0"/>
            <w:vAlign w:val="center"/>
          </w:tcPr>
          <w:p w14:paraId="1E3EBC93">
            <w:pPr>
              <w:adjustRightInd w:val="0"/>
              <w:snapToGrid w:val="0"/>
              <w:spacing w:before="100" w:beforeAutospacing="1" w:after="100" w:afterAutospacing="1"/>
              <w:rPr>
                <w:rFonts w:hint="eastAsia" w:ascii="宋体" w:hAnsi="宋体" w:cs="宋体"/>
                <w:color w:val="auto"/>
                <w:kern w:val="0"/>
                <w:lang w:val="en-US" w:eastAsia="zh-CN"/>
              </w:rPr>
            </w:pPr>
            <w:r>
              <w:rPr>
                <w:rFonts w:hint="eastAsia" w:ascii="宋体" w:hAnsi="宋体" w:cs="宋体"/>
                <w:color w:val="auto"/>
                <w:kern w:val="0"/>
              </w:rPr>
              <w:t>由党团学组织表彰的</w:t>
            </w:r>
            <w:r>
              <w:rPr>
                <w:rFonts w:hint="eastAsia" w:ascii="宋体" w:hAnsi="宋体" w:cs="宋体"/>
                <w:color w:val="auto"/>
                <w:kern w:val="0"/>
                <w:lang w:val="en-US" w:eastAsia="zh-CN"/>
              </w:rPr>
              <w:t>优秀党员、优秀团干、优秀班干部、优秀团员、中山大学年度人物获奖:</w:t>
            </w:r>
          </w:p>
          <w:p w14:paraId="65E310AB">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国家级3.0，省级2.0，校级1.0，院级0.8</w:t>
            </w:r>
          </w:p>
        </w:tc>
        <w:tc>
          <w:tcPr>
            <w:tcW w:w="1056" w:type="dxa"/>
            <w:noWrap w:val="0"/>
            <w:vAlign w:val="center"/>
          </w:tcPr>
          <w:p w14:paraId="31C54CD3">
            <w:pPr>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0.8</w:t>
            </w:r>
            <w:r>
              <w:rPr>
                <w:rFonts w:ascii="宋体" w:hAnsi="宋体" w:cs="宋体"/>
                <w:color w:val="auto"/>
                <w:kern w:val="0"/>
              </w:rPr>
              <w:t>-</w:t>
            </w:r>
            <w:r>
              <w:rPr>
                <w:rFonts w:hint="eastAsia" w:ascii="宋体" w:hAnsi="宋体" w:cs="宋体"/>
                <w:color w:val="auto"/>
                <w:kern w:val="0"/>
              </w:rPr>
              <w:t>3</w:t>
            </w:r>
            <w:r>
              <w:rPr>
                <w:rFonts w:ascii="宋体" w:hAnsi="宋体" w:cs="宋体"/>
                <w:color w:val="auto"/>
                <w:kern w:val="0"/>
              </w:rPr>
              <w:t>.</w:t>
            </w:r>
            <w:r>
              <w:rPr>
                <w:rFonts w:hint="eastAsia" w:ascii="宋体" w:hAnsi="宋体" w:cs="宋体"/>
                <w:color w:val="auto"/>
                <w:kern w:val="0"/>
              </w:rPr>
              <w:t>0</w:t>
            </w:r>
          </w:p>
        </w:tc>
        <w:tc>
          <w:tcPr>
            <w:tcW w:w="975" w:type="dxa"/>
            <w:vMerge w:val="restart"/>
            <w:noWrap w:val="0"/>
            <w:vAlign w:val="center"/>
          </w:tcPr>
          <w:p w14:paraId="05453DF8">
            <w:pPr>
              <w:widowControl/>
              <w:adjustRightInd w:val="0"/>
              <w:snapToGrid w:val="0"/>
              <w:spacing w:before="100" w:beforeAutospacing="1" w:after="100" w:afterAutospacing="1"/>
              <w:rPr>
                <w:rFonts w:ascii="宋体" w:hAnsi="宋体" w:cs="宋体"/>
                <w:color w:val="auto"/>
                <w:kern w:val="0"/>
              </w:rPr>
            </w:pPr>
            <w:r>
              <w:rPr>
                <w:rFonts w:hint="eastAsia" w:ascii="宋体" w:hAnsi="宋体"/>
                <w:b/>
                <w:color w:val="auto"/>
              </w:rPr>
              <w:t>“领袖气质”总加分上限为5分，累计5分以上者按5分计。</w:t>
            </w:r>
          </w:p>
        </w:tc>
        <w:tc>
          <w:tcPr>
            <w:tcW w:w="4384" w:type="dxa"/>
            <w:noWrap w:val="0"/>
            <w:vAlign w:val="center"/>
          </w:tcPr>
          <w:p w14:paraId="26299826">
            <w:pPr>
              <w:ind w:left="42" w:leftChars="20"/>
              <w:rPr>
                <w:rFonts w:ascii="宋体" w:hAnsi="宋体"/>
                <w:color w:val="auto"/>
              </w:rPr>
            </w:pPr>
            <w:r>
              <w:rPr>
                <w:rFonts w:hint="eastAsia" w:ascii="宋体" w:hAnsi="宋体"/>
                <w:color w:val="auto"/>
              </w:rPr>
              <w:t>1、</w:t>
            </w:r>
            <w:r>
              <w:rPr>
                <w:rFonts w:hint="eastAsia" w:ascii="宋体" w:hAnsi="宋体" w:cs="宋体"/>
                <w:color w:val="auto"/>
                <w:kern w:val="0"/>
              </w:rPr>
              <w:t>凡获优秀个人称号不同级别的同类奖项之间不累加，只取最高分。</w:t>
            </w:r>
          </w:p>
          <w:p w14:paraId="3A96E8C0">
            <w:pPr>
              <w:widowControl/>
              <w:adjustRightInd w:val="0"/>
              <w:snapToGrid w:val="0"/>
              <w:rPr>
                <w:rFonts w:ascii="宋体" w:hAnsi="宋体"/>
                <w:color w:val="auto"/>
              </w:rPr>
            </w:pPr>
            <w:r>
              <w:rPr>
                <w:rFonts w:hint="eastAsia" w:ascii="宋体" w:hAnsi="宋体"/>
                <w:color w:val="auto"/>
              </w:rPr>
              <w:t>2、所有荣誉奖项，需单独由政府机构、学校、学院颁发。其他单位颁发的不加分。</w:t>
            </w:r>
          </w:p>
          <w:p w14:paraId="4A1B6B67">
            <w:pPr>
              <w:widowControl/>
              <w:adjustRightInd w:val="0"/>
              <w:snapToGrid w:val="0"/>
              <w:rPr>
                <w:rFonts w:hint="default" w:ascii="宋体" w:hAnsi="宋体" w:cs="宋体"/>
                <w:color w:val="auto"/>
                <w:kern w:val="0"/>
                <w:lang w:val="en-US"/>
              </w:rPr>
            </w:pPr>
            <w:r>
              <w:rPr>
                <w:rFonts w:hint="eastAsia" w:ascii="宋体" w:hAnsi="宋体"/>
                <w:b/>
                <w:color w:val="auto"/>
              </w:rPr>
              <w:t>3、</w:t>
            </w:r>
            <w:r>
              <w:rPr>
                <w:rFonts w:hint="eastAsia" w:ascii="宋体" w:hAnsi="宋体" w:cs="宋体"/>
                <w:color w:val="auto"/>
                <w:kern w:val="0"/>
              </w:rPr>
              <w:t>所有</w:t>
            </w:r>
            <w:r>
              <w:rPr>
                <w:rFonts w:hint="eastAsia" w:ascii="宋体" w:hAnsi="宋体" w:cs="宋体"/>
                <w:color w:val="auto"/>
                <w:kern w:val="0"/>
                <w:lang w:val="en-US" w:eastAsia="zh-CN"/>
              </w:rPr>
              <w:t>获奖</w:t>
            </w:r>
            <w:r>
              <w:rPr>
                <w:rFonts w:hint="eastAsia" w:ascii="宋体" w:hAnsi="宋体" w:cs="宋体"/>
                <w:color w:val="auto"/>
                <w:kern w:val="0"/>
              </w:rPr>
              <w:t>须提供相应证书或奖状。</w:t>
            </w:r>
            <w:r>
              <w:rPr>
                <w:rFonts w:hint="eastAsia" w:ascii="宋体" w:hAnsi="宋体" w:cs="宋体"/>
                <w:color w:val="auto"/>
                <w:kern w:val="0"/>
                <w:lang w:val="en-US" w:eastAsia="zh-CN"/>
              </w:rPr>
              <w:t>中山大学年度人物获奖包括个人和团队获奖，入围奖和提名奖不加分。</w:t>
            </w:r>
          </w:p>
          <w:p w14:paraId="44F90F8B">
            <w:pPr>
              <w:widowControl/>
              <w:adjustRightInd w:val="0"/>
              <w:snapToGrid w:val="0"/>
              <w:rPr>
                <w:rFonts w:hint="eastAsia" w:ascii="宋体" w:hAnsi="宋体"/>
                <w:color w:val="auto"/>
              </w:rPr>
            </w:pPr>
            <w:r>
              <w:rPr>
                <w:rFonts w:ascii="宋体" w:hAnsi="宋体"/>
                <w:b/>
                <w:color w:val="auto"/>
              </w:rPr>
              <w:t>4</w:t>
            </w:r>
            <w:r>
              <w:rPr>
                <w:rFonts w:hint="eastAsia" w:ascii="宋体" w:hAnsi="宋体"/>
                <w:b/>
                <w:color w:val="auto"/>
              </w:rPr>
              <w:t>、“追求卓越”加分</w:t>
            </w:r>
            <w:r>
              <w:rPr>
                <w:rFonts w:hint="eastAsia" w:ascii="宋体" w:hAnsi="宋体" w:cs="宋体"/>
                <w:b/>
                <w:color w:val="auto"/>
                <w:kern w:val="0"/>
              </w:rPr>
              <w:t>上限为3分，累计3分以上按3分计算。</w:t>
            </w:r>
          </w:p>
        </w:tc>
      </w:tr>
      <w:tr w14:paraId="779F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0" w:type="auto"/>
            <w:vMerge w:val="continue"/>
            <w:noWrap w:val="0"/>
            <w:vAlign w:val="center"/>
          </w:tcPr>
          <w:p w14:paraId="7B3DEEF0">
            <w:pPr>
              <w:widowControl/>
              <w:adjustRightInd w:val="0"/>
              <w:snapToGrid w:val="0"/>
              <w:spacing w:before="100" w:beforeAutospacing="1" w:after="100" w:afterAutospacing="1"/>
              <w:rPr>
                <w:rFonts w:ascii="宋体" w:hAnsi="宋体" w:cs="宋体"/>
                <w:b/>
                <w:color w:val="auto"/>
                <w:kern w:val="0"/>
                <w:sz w:val="24"/>
              </w:rPr>
            </w:pPr>
          </w:p>
        </w:tc>
        <w:tc>
          <w:tcPr>
            <w:tcW w:w="0" w:type="auto"/>
            <w:vMerge w:val="restart"/>
            <w:noWrap w:val="0"/>
            <w:vAlign w:val="center"/>
          </w:tcPr>
          <w:p w14:paraId="5A676D5C">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责任担当</w:t>
            </w:r>
          </w:p>
        </w:tc>
        <w:tc>
          <w:tcPr>
            <w:tcW w:w="2464" w:type="dxa"/>
            <w:vMerge w:val="restart"/>
            <w:noWrap w:val="0"/>
            <w:vAlign w:val="center"/>
          </w:tcPr>
          <w:p w14:paraId="7243EE24">
            <w:pPr>
              <w:rPr>
                <w:rFonts w:ascii="宋体" w:hAnsi="宋体" w:cs="宋体"/>
                <w:bCs w:val="0"/>
                <w:color w:val="auto"/>
                <w:kern w:val="0"/>
              </w:rPr>
            </w:pPr>
            <w:r>
              <w:rPr>
                <w:rFonts w:hint="eastAsia" w:ascii="宋体" w:hAnsi="宋体" w:cs="宋体"/>
                <w:color w:val="auto"/>
                <w:kern w:val="0"/>
              </w:rPr>
              <w:t>1) 担任学生干部，组织或策划学生活动；</w:t>
            </w:r>
          </w:p>
          <w:p w14:paraId="0B579D19">
            <w:pPr>
              <w:rPr>
                <w:rFonts w:ascii="宋体" w:hAnsi="宋体" w:cs="宋体"/>
                <w:color w:val="auto"/>
                <w:kern w:val="0"/>
              </w:rPr>
            </w:pPr>
            <w:r>
              <w:rPr>
                <w:rFonts w:hint="eastAsia" w:ascii="宋体" w:hAnsi="宋体" w:cs="宋体"/>
                <w:color w:val="auto"/>
                <w:kern w:val="0"/>
              </w:rPr>
              <w:t>2)担任团队领导，带领实施相关活动。</w:t>
            </w:r>
          </w:p>
          <w:p w14:paraId="06801C96">
            <w:pPr>
              <w:rPr>
                <w:rFonts w:hint="eastAsia" w:ascii="宋体" w:hAnsi="宋体" w:cs="宋体"/>
                <w:bCs w:val="0"/>
                <w:color w:val="auto"/>
                <w:kern w:val="0"/>
              </w:rPr>
            </w:pPr>
            <w:r>
              <w:rPr>
                <w:rFonts w:hint="eastAsia" w:ascii="宋体" w:hAnsi="宋体" w:cs="宋体"/>
                <w:bCs w:val="0"/>
                <w:color w:val="auto"/>
                <w:kern w:val="0"/>
              </w:rPr>
              <w:t>3）带领集体获得荣誉。</w:t>
            </w:r>
          </w:p>
        </w:tc>
        <w:tc>
          <w:tcPr>
            <w:tcW w:w="5341" w:type="dxa"/>
            <w:noWrap w:val="0"/>
            <w:vAlign w:val="center"/>
          </w:tcPr>
          <w:p w14:paraId="5522E4BB">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院级以上</w:t>
            </w:r>
            <w:r>
              <w:rPr>
                <w:rFonts w:hint="eastAsia" w:ascii="宋体" w:hAnsi="宋体" w:cs="宋体"/>
                <w:bCs w:val="0"/>
                <w:color w:val="auto"/>
                <w:kern w:val="0"/>
              </w:rPr>
              <w:t>党团班组织或集体（如党支部、团支部、团委、学生会、班级）荣获党团学集体类奖项的，主要负责人、次要负责人</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9"/>
              <w:gridCol w:w="1417"/>
              <w:gridCol w:w="1276"/>
            </w:tblGrid>
            <w:tr w14:paraId="55A79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230AB7E1">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级别</w:t>
                  </w:r>
                </w:p>
              </w:tc>
              <w:tc>
                <w:tcPr>
                  <w:tcW w:w="1417" w:type="dxa"/>
                  <w:noWrap w:val="0"/>
                  <w:vAlign w:val="top"/>
                </w:tcPr>
                <w:p w14:paraId="4C4384A7">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主要负责人</w:t>
                  </w:r>
                </w:p>
              </w:tc>
              <w:tc>
                <w:tcPr>
                  <w:tcW w:w="1276" w:type="dxa"/>
                  <w:noWrap w:val="0"/>
                  <w:vAlign w:val="top"/>
                </w:tcPr>
                <w:p w14:paraId="53EE3C08">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次要负责人</w:t>
                  </w:r>
                </w:p>
              </w:tc>
            </w:tr>
            <w:tr w14:paraId="26C69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6C4C28B5">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国家级</w:t>
                  </w:r>
                </w:p>
              </w:tc>
              <w:tc>
                <w:tcPr>
                  <w:tcW w:w="1417" w:type="dxa"/>
                  <w:noWrap w:val="0"/>
                  <w:vAlign w:val="top"/>
                </w:tcPr>
                <w:p w14:paraId="2B6C6153">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3</w:t>
                  </w:r>
                </w:p>
              </w:tc>
              <w:tc>
                <w:tcPr>
                  <w:tcW w:w="1276" w:type="dxa"/>
                  <w:noWrap w:val="0"/>
                  <w:vAlign w:val="top"/>
                </w:tcPr>
                <w:p w14:paraId="314AD0F2">
                  <w:pPr>
                    <w:widowControl/>
                    <w:adjustRightInd w:val="0"/>
                    <w:snapToGrid w:val="0"/>
                    <w:spacing w:before="100" w:beforeAutospacing="1" w:after="100" w:afterAutospacing="1"/>
                    <w:rPr>
                      <w:rFonts w:ascii="宋体" w:hAnsi="宋体" w:cs="宋体"/>
                      <w:bCs w:val="0"/>
                      <w:color w:val="auto"/>
                      <w:kern w:val="0"/>
                    </w:rPr>
                  </w:pPr>
                  <w:r>
                    <w:rPr>
                      <w:rFonts w:ascii="宋体" w:hAnsi="宋体" w:cs="宋体"/>
                      <w:color w:val="auto"/>
                      <w:kern w:val="0"/>
                    </w:rPr>
                    <w:t>1.</w:t>
                  </w:r>
                  <w:r>
                    <w:rPr>
                      <w:rFonts w:hint="eastAsia" w:ascii="宋体" w:hAnsi="宋体" w:cs="宋体"/>
                      <w:color w:val="auto"/>
                      <w:kern w:val="0"/>
                    </w:rPr>
                    <w:t>8</w:t>
                  </w:r>
                </w:p>
              </w:tc>
            </w:tr>
            <w:tr w14:paraId="31C64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17038F04">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省级</w:t>
                  </w:r>
                </w:p>
              </w:tc>
              <w:tc>
                <w:tcPr>
                  <w:tcW w:w="1417" w:type="dxa"/>
                  <w:noWrap w:val="0"/>
                  <w:vAlign w:val="top"/>
                </w:tcPr>
                <w:p w14:paraId="5798A2F9">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2</w:t>
                  </w:r>
                </w:p>
              </w:tc>
              <w:tc>
                <w:tcPr>
                  <w:tcW w:w="1276" w:type="dxa"/>
                  <w:noWrap w:val="0"/>
                  <w:vAlign w:val="top"/>
                </w:tcPr>
                <w:p w14:paraId="599FEA8B">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1.2</w:t>
                  </w:r>
                </w:p>
              </w:tc>
            </w:tr>
            <w:tr w14:paraId="4819C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7A80613F">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校级 </w:t>
                  </w:r>
                </w:p>
              </w:tc>
              <w:tc>
                <w:tcPr>
                  <w:tcW w:w="1417" w:type="dxa"/>
                  <w:noWrap w:val="0"/>
                  <w:vAlign w:val="top"/>
                </w:tcPr>
                <w:p w14:paraId="5C27E732">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1</w:t>
                  </w:r>
                </w:p>
              </w:tc>
              <w:tc>
                <w:tcPr>
                  <w:tcW w:w="1276" w:type="dxa"/>
                  <w:noWrap w:val="0"/>
                  <w:vAlign w:val="top"/>
                </w:tcPr>
                <w:p w14:paraId="1E9E0B71">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w:t>
                  </w:r>
                  <w:r>
                    <w:rPr>
                      <w:rFonts w:hint="eastAsia" w:ascii="宋体" w:hAnsi="宋体" w:cs="宋体"/>
                      <w:bCs w:val="0"/>
                      <w:color w:val="auto"/>
                      <w:kern w:val="0"/>
                    </w:rPr>
                    <w:t>6</w:t>
                  </w:r>
                </w:p>
              </w:tc>
            </w:tr>
            <w:tr w14:paraId="51A58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12814D70">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院级 </w:t>
                  </w:r>
                </w:p>
              </w:tc>
              <w:tc>
                <w:tcPr>
                  <w:tcW w:w="1417" w:type="dxa"/>
                  <w:noWrap w:val="0"/>
                  <w:vAlign w:val="top"/>
                </w:tcPr>
                <w:p w14:paraId="6BF66BE0">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0.8</w:t>
                  </w:r>
                </w:p>
              </w:tc>
              <w:tc>
                <w:tcPr>
                  <w:tcW w:w="1276" w:type="dxa"/>
                  <w:noWrap w:val="0"/>
                  <w:vAlign w:val="top"/>
                </w:tcPr>
                <w:p w14:paraId="04BCA324">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w:t>
                  </w:r>
                  <w:r>
                    <w:rPr>
                      <w:rFonts w:hint="eastAsia" w:ascii="宋体" w:hAnsi="宋体" w:cs="宋体"/>
                      <w:bCs w:val="0"/>
                      <w:color w:val="auto"/>
                      <w:kern w:val="0"/>
                    </w:rPr>
                    <w:t>5</w:t>
                  </w:r>
                </w:p>
              </w:tc>
            </w:tr>
          </w:tbl>
          <w:p w14:paraId="23B18A77">
            <w:pPr>
              <w:widowControl/>
              <w:adjustRightInd w:val="0"/>
              <w:snapToGrid w:val="0"/>
              <w:spacing w:before="100" w:beforeAutospacing="1" w:after="100" w:afterAutospacing="1"/>
              <w:rPr>
                <w:rFonts w:hint="eastAsia" w:ascii="宋体" w:hAnsi="宋体" w:cs="宋体"/>
                <w:bCs w:val="0"/>
                <w:color w:val="auto"/>
                <w:kern w:val="0"/>
              </w:rPr>
            </w:pPr>
          </w:p>
        </w:tc>
        <w:tc>
          <w:tcPr>
            <w:tcW w:w="1056" w:type="dxa"/>
            <w:noWrap w:val="0"/>
            <w:vAlign w:val="center"/>
          </w:tcPr>
          <w:p w14:paraId="3828306F">
            <w:pPr>
              <w:widowControl/>
              <w:adjustRightInd w:val="0"/>
              <w:snapToGrid w:val="0"/>
              <w:spacing w:before="100" w:beforeAutospacing="1" w:after="100" w:afterAutospacing="1"/>
              <w:rPr>
                <w:rFonts w:hint="eastAsia" w:ascii="宋体" w:hAnsi="宋体" w:cs="宋体"/>
                <w:bCs w:val="0"/>
                <w:color w:val="auto"/>
                <w:kern w:val="0"/>
              </w:rPr>
            </w:pPr>
            <w:r>
              <w:rPr>
                <w:rFonts w:ascii="宋体" w:hAnsi="宋体" w:cs="宋体"/>
                <w:bCs w:val="0"/>
                <w:color w:val="auto"/>
                <w:kern w:val="0"/>
              </w:rPr>
              <w:t>0.</w:t>
            </w:r>
            <w:r>
              <w:rPr>
                <w:rFonts w:hint="eastAsia" w:ascii="宋体" w:hAnsi="宋体" w:cs="宋体"/>
                <w:bCs w:val="0"/>
                <w:color w:val="auto"/>
                <w:kern w:val="0"/>
              </w:rPr>
              <w:t>5</w:t>
            </w:r>
            <w:r>
              <w:rPr>
                <w:rFonts w:ascii="宋体" w:hAnsi="宋体" w:cs="宋体"/>
                <w:bCs w:val="0"/>
                <w:color w:val="auto"/>
                <w:kern w:val="0"/>
              </w:rPr>
              <w:t>-</w:t>
            </w:r>
            <w:r>
              <w:rPr>
                <w:rFonts w:hint="eastAsia" w:ascii="宋体" w:hAnsi="宋体" w:cs="宋体"/>
                <w:bCs w:val="0"/>
                <w:color w:val="auto"/>
                <w:kern w:val="0"/>
              </w:rPr>
              <w:t>3.0</w:t>
            </w:r>
          </w:p>
        </w:tc>
        <w:tc>
          <w:tcPr>
            <w:tcW w:w="975" w:type="dxa"/>
            <w:vMerge w:val="continue"/>
            <w:noWrap w:val="0"/>
            <w:vAlign w:val="center"/>
          </w:tcPr>
          <w:p w14:paraId="0C3F5F3B">
            <w:pPr>
              <w:ind w:left="208" w:hanging="207" w:hangingChars="99"/>
              <w:rPr>
                <w:rFonts w:ascii="宋体" w:hAnsi="宋体"/>
                <w:color w:val="auto"/>
              </w:rPr>
            </w:pPr>
          </w:p>
        </w:tc>
        <w:tc>
          <w:tcPr>
            <w:tcW w:w="4384" w:type="dxa"/>
            <w:vMerge w:val="restart"/>
            <w:noWrap w:val="0"/>
            <w:vAlign w:val="center"/>
          </w:tcPr>
          <w:p w14:paraId="610D50F4">
            <w:pPr>
              <w:ind w:left="2"/>
              <w:rPr>
                <w:rFonts w:ascii="宋体" w:hAnsi="宋体"/>
                <w:color w:val="auto"/>
              </w:rPr>
            </w:pPr>
            <w:r>
              <w:rPr>
                <w:rFonts w:hint="eastAsia" w:ascii="宋体" w:hAnsi="宋体"/>
                <w:color w:val="auto"/>
              </w:rPr>
              <w:t>1、</w:t>
            </w:r>
            <w:r>
              <w:rPr>
                <w:rFonts w:hint="eastAsia" w:ascii="宋体" w:hAnsi="宋体" w:cs="宋体"/>
                <w:color w:val="auto"/>
                <w:kern w:val="0"/>
              </w:rPr>
              <w:t>凡获以上先进团体的负责人或一般成员，不同类别奖项分数可累加；获得不同级别的同类奖项不累加，只记最高分。</w:t>
            </w:r>
          </w:p>
          <w:p w14:paraId="316FA13C">
            <w:pPr>
              <w:rPr>
                <w:rFonts w:ascii="宋体" w:hAnsi="宋体"/>
                <w:color w:val="auto"/>
              </w:rPr>
            </w:pPr>
            <w:r>
              <w:rPr>
                <w:rFonts w:hint="eastAsia" w:ascii="宋体" w:hAnsi="宋体"/>
                <w:color w:val="auto"/>
              </w:rPr>
              <w:t>2、</w:t>
            </w:r>
            <w:r>
              <w:rPr>
                <w:rFonts w:hint="eastAsia" w:ascii="宋体" w:hAnsi="宋体" w:cs="宋体"/>
                <w:color w:val="auto"/>
                <w:kern w:val="0"/>
              </w:rPr>
              <w:t>所有先进集体荣誉须提供相应证书或奖状。</w:t>
            </w:r>
          </w:p>
          <w:p w14:paraId="7CF97311">
            <w:pPr>
              <w:ind w:left="210" w:hanging="210"/>
              <w:rPr>
                <w:rFonts w:hint="eastAsia" w:ascii="宋体" w:hAnsi="宋体" w:cs="宋体"/>
                <w:color w:val="auto"/>
                <w:kern w:val="0"/>
              </w:rPr>
            </w:pPr>
            <w:r>
              <w:rPr>
                <w:rFonts w:hint="eastAsia" w:ascii="宋体" w:hAnsi="宋体" w:cs="宋体"/>
                <w:color w:val="auto"/>
                <w:kern w:val="0"/>
              </w:rPr>
              <w:t>3、</w:t>
            </w:r>
            <w:r>
              <w:rPr>
                <w:rFonts w:hint="eastAsia" w:ascii="宋体" w:hAnsi="宋体"/>
                <w:color w:val="auto"/>
              </w:rPr>
              <w:t>所有先进集体荣誉，需单独由政府机构、各级党团组织、学校、学院颁发，其他单位颁发的不加分。</w:t>
            </w:r>
          </w:p>
          <w:p w14:paraId="3EB0F73D">
            <w:pPr>
              <w:ind w:left="210" w:hanging="210"/>
              <w:rPr>
                <w:rFonts w:hint="eastAsia" w:ascii="宋体" w:hAnsi="宋体"/>
                <w:color w:val="auto"/>
              </w:rPr>
            </w:pPr>
            <w:r>
              <w:rPr>
                <w:rFonts w:hint="eastAsia" w:ascii="宋体" w:hAnsi="宋体"/>
                <w:color w:val="auto"/>
              </w:rPr>
              <w:t>4、主要负责人、次要负责人及一般成员名单应由组织或集体出具相应名单，一般主要负责人不超过组织或集体总人数的5%，次要负责人不超过1</w:t>
            </w:r>
            <w:r>
              <w:rPr>
                <w:rFonts w:ascii="宋体" w:hAnsi="宋体"/>
                <w:color w:val="auto"/>
              </w:rPr>
              <w:t>0</w:t>
            </w:r>
            <w:r>
              <w:rPr>
                <w:rFonts w:hint="eastAsia" w:ascii="宋体" w:hAnsi="宋体"/>
                <w:color w:val="auto"/>
              </w:rPr>
              <w:t>%，一般成员根据参与集体建设贡献程度而定，并非所有成员均可加分。</w:t>
            </w:r>
          </w:p>
          <w:p w14:paraId="3A1E5C51">
            <w:pPr>
              <w:ind w:left="210" w:hanging="210"/>
              <w:rPr>
                <w:rFonts w:hint="eastAsia" w:ascii="宋体" w:hAnsi="宋体" w:eastAsia="宋体"/>
                <w:color w:val="auto"/>
                <w:lang w:val="en-US" w:eastAsia="zh-CN"/>
              </w:rPr>
            </w:pPr>
            <w:r>
              <w:rPr>
                <w:rFonts w:hint="eastAsia" w:ascii="宋体" w:hAnsi="宋体"/>
                <w:color w:val="auto"/>
                <w:lang w:val="en-US" w:eastAsia="zh-CN"/>
              </w:rPr>
              <w:t>5、寒招优秀团队、合唱团等队伍不属于此处所指的“</w:t>
            </w:r>
            <w:r>
              <w:rPr>
                <w:rFonts w:hint="eastAsia" w:ascii="宋体" w:hAnsi="宋体" w:cs="宋体"/>
                <w:color w:val="auto"/>
                <w:kern w:val="0"/>
              </w:rPr>
              <w:t>学生社团或宿舍等除党团班以外的组织或集体</w:t>
            </w:r>
            <w:r>
              <w:rPr>
                <w:rFonts w:hint="eastAsia" w:ascii="宋体" w:hAnsi="宋体" w:cs="宋体"/>
                <w:color w:val="auto"/>
                <w:kern w:val="0"/>
                <w:lang w:eastAsia="zh-CN"/>
              </w:rPr>
              <w:t>”。</w:t>
            </w:r>
          </w:p>
          <w:p w14:paraId="4ED425A5">
            <w:pPr>
              <w:ind w:left="210" w:hanging="210"/>
              <w:rPr>
                <w:rFonts w:ascii="宋体" w:hAnsi="宋体" w:cs="宋体"/>
                <w:b/>
                <w:color w:val="auto"/>
                <w:kern w:val="0"/>
              </w:rPr>
            </w:pPr>
            <w:r>
              <w:rPr>
                <w:rFonts w:hint="eastAsia" w:ascii="宋体" w:hAnsi="宋体"/>
                <w:color w:val="auto"/>
                <w:lang w:val="en-US" w:eastAsia="zh-CN"/>
              </w:rPr>
              <w:t>6</w:t>
            </w:r>
            <w:r>
              <w:rPr>
                <w:rFonts w:hint="eastAsia" w:ascii="宋体" w:hAnsi="宋体"/>
                <w:color w:val="auto"/>
              </w:rPr>
              <w:t>、</w:t>
            </w:r>
            <w:r>
              <w:rPr>
                <w:rFonts w:hint="eastAsia" w:ascii="宋体" w:hAnsi="宋体"/>
                <w:b/>
                <w:color w:val="auto"/>
              </w:rPr>
              <w:t>“责任担当”加分</w:t>
            </w:r>
            <w:r>
              <w:rPr>
                <w:rFonts w:hint="eastAsia" w:ascii="宋体" w:hAnsi="宋体" w:cs="宋体"/>
                <w:b/>
                <w:color w:val="auto"/>
                <w:kern w:val="0"/>
              </w:rPr>
              <w:t>上限为3分，累计3分以上按3分计算。</w:t>
            </w:r>
          </w:p>
          <w:p w14:paraId="3B47AC58">
            <w:pPr>
              <w:ind w:left="210" w:hanging="210"/>
              <w:rPr>
                <w:rFonts w:hint="eastAsia" w:ascii="宋体" w:hAnsi="宋体"/>
                <w:color w:val="auto"/>
              </w:rPr>
            </w:pPr>
            <w:r>
              <w:rPr>
                <w:rFonts w:hint="eastAsia" w:ascii="宋体" w:hAnsi="宋体" w:cs="宋体"/>
                <w:b/>
                <w:color w:val="auto"/>
                <w:kern w:val="0"/>
                <w:lang w:val="en-US" w:eastAsia="zh-CN"/>
              </w:rPr>
              <w:t>7</w:t>
            </w:r>
            <w:r>
              <w:rPr>
                <w:rFonts w:hint="eastAsia" w:ascii="宋体" w:hAnsi="宋体" w:cs="宋体"/>
                <w:b/>
                <w:color w:val="auto"/>
                <w:kern w:val="0"/>
              </w:rPr>
              <w:t>、</w:t>
            </w:r>
            <w:r>
              <w:rPr>
                <w:rFonts w:hint="eastAsia" w:ascii="宋体" w:hAnsi="宋体"/>
                <w:b/>
                <w:color w:val="auto"/>
              </w:rPr>
              <w:t>“团结协作”加分</w:t>
            </w:r>
            <w:r>
              <w:rPr>
                <w:rFonts w:hint="eastAsia" w:ascii="宋体" w:hAnsi="宋体" w:cs="宋体"/>
                <w:b/>
                <w:color w:val="auto"/>
                <w:kern w:val="0"/>
              </w:rPr>
              <w:t>上限为0.9分，累计0.9分以上按0.9分计算。</w:t>
            </w:r>
          </w:p>
        </w:tc>
      </w:tr>
      <w:tr w14:paraId="1904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Merge w:val="continue"/>
            <w:noWrap w:val="0"/>
            <w:vAlign w:val="center"/>
          </w:tcPr>
          <w:p w14:paraId="6CB9D3E6">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136E48BD">
            <w:pPr>
              <w:widowControl/>
              <w:adjustRightInd w:val="0"/>
              <w:snapToGrid w:val="0"/>
              <w:spacing w:before="100" w:beforeAutospacing="1" w:after="100" w:afterAutospacing="1"/>
              <w:rPr>
                <w:rFonts w:hint="eastAsia" w:ascii="宋体" w:hAnsi="宋体" w:cs="宋体"/>
                <w:b/>
                <w:color w:val="auto"/>
                <w:kern w:val="0"/>
                <w:sz w:val="24"/>
              </w:rPr>
            </w:pPr>
          </w:p>
        </w:tc>
        <w:tc>
          <w:tcPr>
            <w:tcW w:w="2464" w:type="dxa"/>
            <w:vMerge w:val="continue"/>
            <w:noWrap w:val="0"/>
            <w:vAlign w:val="center"/>
          </w:tcPr>
          <w:p w14:paraId="542974EB">
            <w:pPr>
              <w:rPr>
                <w:rFonts w:hint="eastAsia" w:ascii="宋体" w:hAnsi="宋体" w:cs="宋体"/>
                <w:color w:val="auto"/>
                <w:kern w:val="0"/>
              </w:rPr>
            </w:pPr>
          </w:p>
        </w:tc>
        <w:tc>
          <w:tcPr>
            <w:tcW w:w="5341" w:type="dxa"/>
            <w:noWrap w:val="0"/>
            <w:vAlign w:val="center"/>
          </w:tcPr>
          <w:p w14:paraId="5440C2DD">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学生社团或宿舍等除党团班以外的组织或集体</w:t>
            </w:r>
            <w:r>
              <w:rPr>
                <w:rFonts w:hint="eastAsia" w:ascii="宋体" w:hAnsi="宋体" w:cs="宋体"/>
                <w:bCs w:val="0"/>
                <w:color w:val="auto"/>
                <w:kern w:val="0"/>
              </w:rPr>
              <w:t>荣获集体类奖项的，主要负责人、次要负责人:</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9"/>
              <w:gridCol w:w="1417"/>
              <w:gridCol w:w="1276"/>
            </w:tblGrid>
            <w:tr w14:paraId="1757E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3B8240C1">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级别</w:t>
                  </w:r>
                </w:p>
              </w:tc>
              <w:tc>
                <w:tcPr>
                  <w:tcW w:w="1417" w:type="dxa"/>
                  <w:noWrap w:val="0"/>
                  <w:vAlign w:val="top"/>
                </w:tcPr>
                <w:p w14:paraId="0567425F">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主要负责人</w:t>
                  </w:r>
                </w:p>
              </w:tc>
              <w:tc>
                <w:tcPr>
                  <w:tcW w:w="1276" w:type="dxa"/>
                  <w:noWrap w:val="0"/>
                  <w:vAlign w:val="top"/>
                </w:tcPr>
                <w:p w14:paraId="7AB4AF84">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次要负责人</w:t>
                  </w:r>
                </w:p>
              </w:tc>
            </w:tr>
            <w:tr w14:paraId="6226F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53891A7B">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国家级</w:t>
                  </w:r>
                </w:p>
              </w:tc>
              <w:tc>
                <w:tcPr>
                  <w:tcW w:w="1417" w:type="dxa"/>
                  <w:noWrap w:val="0"/>
                  <w:vAlign w:val="top"/>
                </w:tcPr>
                <w:p w14:paraId="11A8EE86">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2</w:t>
                  </w:r>
                </w:p>
              </w:tc>
              <w:tc>
                <w:tcPr>
                  <w:tcW w:w="1276" w:type="dxa"/>
                  <w:noWrap w:val="0"/>
                  <w:vAlign w:val="top"/>
                </w:tcPr>
                <w:p w14:paraId="0F93FAA3">
                  <w:pPr>
                    <w:widowControl/>
                    <w:adjustRightInd w:val="0"/>
                    <w:snapToGrid w:val="0"/>
                    <w:spacing w:before="100" w:beforeAutospacing="1" w:after="100" w:afterAutospacing="1"/>
                    <w:rPr>
                      <w:rFonts w:ascii="宋体" w:hAnsi="宋体" w:cs="宋体"/>
                      <w:bCs w:val="0"/>
                      <w:color w:val="auto"/>
                      <w:kern w:val="0"/>
                    </w:rPr>
                  </w:pPr>
                  <w:r>
                    <w:rPr>
                      <w:rFonts w:ascii="宋体" w:hAnsi="宋体" w:cs="宋体"/>
                      <w:color w:val="auto"/>
                      <w:kern w:val="0"/>
                    </w:rPr>
                    <w:t>1.</w:t>
                  </w:r>
                  <w:r>
                    <w:rPr>
                      <w:rFonts w:hint="eastAsia" w:ascii="宋体" w:hAnsi="宋体" w:cs="宋体"/>
                      <w:color w:val="auto"/>
                      <w:kern w:val="0"/>
                    </w:rPr>
                    <w:t>2</w:t>
                  </w:r>
                </w:p>
              </w:tc>
            </w:tr>
            <w:tr w14:paraId="70012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4BA52EF3">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省级</w:t>
                  </w:r>
                </w:p>
              </w:tc>
              <w:tc>
                <w:tcPr>
                  <w:tcW w:w="1417" w:type="dxa"/>
                  <w:noWrap w:val="0"/>
                  <w:vAlign w:val="top"/>
                </w:tcPr>
                <w:p w14:paraId="76C99817">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1.5</w:t>
                  </w:r>
                </w:p>
              </w:tc>
              <w:tc>
                <w:tcPr>
                  <w:tcW w:w="1276" w:type="dxa"/>
                  <w:noWrap w:val="0"/>
                  <w:vAlign w:val="top"/>
                </w:tcPr>
                <w:p w14:paraId="11B51BCD">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0.9</w:t>
                  </w:r>
                </w:p>
              </w:tc>
            </w:tr>
            <w:tr w14:paraId="0C0FB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9" w:type="dxa"/>
                  <w:noWrap w:val="0"/>
                  <w:vAlign w:val="top"/>
                </w:tcPr>
                <w:p w14:paraId="4633640D">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校级 </w:t>
                  </w:r>
                </w:p>
              </w:tc>
              <w:tc>
                <w:tcPr>
                  <w:tcW w:w="1417" w:type="dxa"/>
                  <w:noWrap w:val="0"/>
                  <w:vAlign w:val="top"/>
                </w:tcPr>
                <w:p w14:paraId="79396ADB">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0.8</w:t>
                  </w:r>
                </w:p>
              </w:tc>
              <w:tc>
                <w:tcPr>
                  <w:tcW w:w="1276" w:type="dxa"/>
                  <w:noWrap w:val="0"/>
                  <w:vAlign w:val="top"/>
                </w:tcPr>
                <w:p w14:paraId="04DCBCDF">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w:t>
                  </w:r>
                  <w:r>
                    <w:rPr>
                      <w:rFonts w:hint="eastAsia" w:ascii="宋体" w:hAnsi="宋体" w:cs="宋体"/>
                      <w:bCs w:val="0"/>
                      <w:color w:val="auto"/>
                      <w:kern w:val="0"/>
                    </w:rPr>
                    <w:t>5</w:t>
                  </w:r>
                </w:p>
              </w:tc>
            </w:tr>
          </w:tbl>
          <w:p w14:paraId="1C359F83">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校级文明宿舍；宿舍长0</w:t>
            </w:r>
            <w:r>
              <w:rPr>
                <w:rFonts w:ascii="宋体" w:hAnsi="宋体" w:cs="宋体"/>
                <w:color w:val="auto"/>
                <w:kern w:val="0"/>
              </w:rPr>
              <w:t>.3</w:t>
            </w:r>
          </w:p>
        </w:tc>
        <w:tc>
          <w:tcPr>
            <w:tcW w:w="1056" w:type="dxa"/>
            <w:noWrap w:val="0"/>
            <w:vAlign w:val="center"/>
          </w:tcPr>
          <w:p w14:paraId="6B0DE5E7">
            <w:pPr>
              <w:widowControl/>
              <w:adjustRightInd w:val="0"/>
              <w:snapToGrid w:val="0"/>
              <w:spacing w:before="100" w:beforeAutospacing="1" w:after="100" w:afterAutospacing="1"/>
              <w:rPr>
                <w:rFonts w:ascii="宋体" w:hAnsi="宋体" w:cs="宋体"/>
                <w:bCs w:val="0"/>
                <w:color w:val="auto"/>
                <w:kern w:val="0"/>
              </w:rPr>
            </w:pPr>
            <w:r>
              <w:rPr>
                <w:rFonts w:ascii="宋体" w:hAnsi="宋体" w:cs="宋体"/>
                <w:bCs w:val="0"/>
                <w:color w:val="auto"/>
                <w:kern w:val="0"/>
              </w:rPr>
              <w:t>0.</w:t>
            </w:r>
            <w:r>
              <w:rPr>
                <w:rFonts w:hint="eastAsia" w:ascii="宋体" w:hAnsi="宋体" w:cs="宋体"/>
                <w:bCs w:val="0"/>
                <w:color w:val="auto"/>
                <w:kern w:val="0"/>
              </w:rPr>
              <w:t>5</w:t>
            </w:r>
            <w:r>
              <w:rPr>
                <w:rFonts w:ascii="宋体" w:hAnsi="宋体" w:cs="宋体"/>
                <w:bCs w:val="0"/>
                <w:color w:val="auto"/>
                <w:kern w:val="0"/>
              </w:rPr>
              <w:t>-</w:t>
            </w:r>
            <w:r>
              <w:rPr>
                <w:rFonts w:hint="eastAsia" w:ascii="宋体" w:hAnsi="宋体" w:cs="宋体"/>
                <w:bCs w:val="0"/>
                <w:color w:val="auto"/>
                <w:kern w:val="0"/>
              </w:rPr>
              <w:t>2.0</w:t>
            </w:r>
          </w:p>
        </w:tc>
        <w:tc>
          <w:tcPr>
            <w:tcW w:w="975" w:type="dxa"/>
            <w:vMerge w:val="continue"/>
            <w:noWrap w:val="0"/>
            <w:vAlign w:val="center"/>
          </w:tcPr>
          <w:p w14:paraId="5CF74C20">
            <w:pPr>
              <w:ind w:left="208" w:hanging="207" w:hangingChars="99"/>
              <w:rPr>
                <w:rFonts w:ascii="宋体" w:hAnsi="宋体"/>
                <w:color w:val="auto"/>
              </w:rPr>
            </w:pPr>
          </w:p>
        </w:tc>
        <w:tc>
          <w:tcPr>
            <w:tcW w:w="4384" w:type="dxa"/>
            <w:vMerge w:val="continue"/>
            <w:noWrap w:val="0"/>
            <w:vAlign w:val="center"/>
          </w:tcPr>
          <w:p w14:paraId="31B98363">
            <w:pPr>
              <w:ind w:left="2"/>
              <w:rPr>
                <w:rFonts w:hint="eastAsia" w:ascii="宋体" w:hAnsi="宋体"/>
                <w:color w:val="auto"/>
              </w:rPr>
            </w:pPr>
          </w:p>
        </w:tc>
      </w:tr>
      <w:tr w14:paraId="2AA2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vMerge w:val="continue"/>
            <w:noWrap w:val="0"/>
            <w:vAlign w:val="center"/>
          </w:tcPr>
          <w:p w14:paraId="344D99B4">
            <w:pPr>
              <w:widowControl/>
              <w:adjustRightInd w:val="0"/>
              <w:snapToGrid w:val="0"/>
              <w:spacing w:before="100" w:beforeAutospacing="1" w:after="100" w:afterAutospacing="1"/>
              <w:rPr>
                <w:rFonts w:ascii="宋体" w:hAnsi="宋体" w:cs="宋体"/>
                <w:b/>
                <w:color w:val="auto"/>
                <w:kern w:val="0"/>
                <w:sz w:val="24"/>
              </w:rPr>
            </w:pPr>
          </w:p>
        </w:tc>
        <w:tc>
          <w:tcPr>
            <w:tcW w:w="0" w:type="auto"/>
            <w:vMerge w:val="restart"/>
            <w:noWrap w:val="0"/>
            <w:vAlign w:val="center"/>
          </w:tcPr>
          <w:p w14:paraId="1AB2A3C3">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cs="宋体"/>
                <w:b/>
                <w:color w:val="auto"/>
                <w:kern w:val="0"/>
                <w:sz w:val="24"/>
              </w:rPr>
              <w:t>团结协作</w:t>
            </w:r>
          </w:p>
        </w:tc>
        <w:tc>
          <w:tcPr>
            <w:tcW w:w="2464" w:type="dxa"/>
            <w:vMerge w:val="restart"/>
            <w:noWrap w:val="0"/>
            <w:vAlign w:val="center"/>
          </w:tcPr>
          <w:p w14:paraId="0CD4FD3D">
            <w:pPr>
              <w:rPr>
                <w:rFonts w:hint="eastAsia" w:ascii="宋体" w:hAnsi="宋体" w:cs="宋体"/>
                <w:color w:val="auto"/>
                <w:kern w:val="0"/>
              </w:rPr>
            </w:pPr>
            <w:r>
              <w:rPr>
                <w:rFonts w:hint="eastAsia" w:ascii="宋体" w:hAnsi="宋体" w:cs="宋体"/>
                <w:color w:val="auto"/>
                <w:kern w:val="0"/>
              </w:rPr>
              <w:t>1）团结同学，待人宽容友善；</w:t>
            </w:r>
          </w:p>
          <w:p w14:paraId="6B8E222F">
            <w:pPr>
              <w:rPr>
                <w:rFonts w:hint="eastAsia" w:ascii="宋体" w:hAnsi="宋体" w:cs="宋体"/>
                <w:color w:val="auto"/>
                <w:kern w:val="0"/>
              </w:rPr>
            </w:pPr>
            <w:r>
              <w:rPr>
                <w:rFonts w:hint="eastAsia" w:ascii="宋体" w:hAnsi="宋体" w:cs="宋体"/>
                <w:color w:val="auto"/>
                <w:kern w:val="0"/>
              </w:rPr>
              <w:t>2）积极参与班级和宿舍建设；</w:t>
            </w:r>
          </w:p>
          <w:p w14:paraId="07802C66">
            <w:pPr>
              <w:rPr>
                <w:rFonts w:ascii="宋体" w:hAnsi="宋体" w:cs="宋体"/>
                <w:color w:val="auto"/>
                <w:kern w:val="0"/>
              </w:rPr>
            </w:pPr>
            <w:r>
              <w:rPr>
                <w:rFonts w:hint="eastAsia" w:ascii="宋体" w:hAnsi="宋体" w:cs="宋体"/>
                <w:color w:val="auto"/>
                <w:kern w:val="0"/>
              </w:rPr>
              <w:t>3）积极参与集体活动，对所在集体有贡献（党团建设、班级荣誉等）；</w:t>
            </w:r>
          </w:p>
        </w:tc>
        <w:tc>
          <w:tcPr>
            <w:tcW w:w="5341" w:type="dxa"/>
            <w:tcBorders>
              <w:top w:val="single" w:color="auto" w:sz="4" w:space="0"/>
              <w:bottom w:val="single" w:color="auto" w:sz="4" w:space="0"/>
              <w:right w:val="single" w:color="auto" w:sz="4" w:space="0"/>
            </w:tcBorders>
            <w:noWrap w:val="0"/>
            <w:vAlign w:val="center"/>
          </w:tcPr>
          <w:p w14:paraId="0C0C22DB">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color w:val="auto"/>
                <w:kern w:val="0"/>
              </w:rPr>
              <w:t>院级以上</w:t>
            </w:r>
            <w:r>
              <w:rPr>
                <w:rFonts w:hint="eastAsia" w:ascii="宋体" w:hAnsi="宋体" w:cs="宋体"/>
                <w:bCs w:val="0"/>
                <w:color w:val="auto"/>
                <w:kern w:val="0"/>
              </w:rPr>
              <w:t>党团班组织或集体（如党支部、团支部、团委、学生会、班级）荣获党团学集体类奖项的一般成员:</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1209"/>
            </w:tblGrid>
            <w:tr w14:paraId="55B75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4FDB4DDD">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级别</w:t>
                  </w:r>
                </w:p>
              </w:tc>
              <w:tc>
                <w:tcPr>
                  <w:tcW w:w="1209" w:type="dxa"/>
                  <w:noWrap w:val="0"/>
                  <w:vAlign w:val="top"/>
                </w:tcPr>
                <w:p w14:paraId="60CE747E">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一般成员</w:t>
                  </w:r>
                </w:p>
              </w:tc>
            </w:tr>
            <w:tr w14:paraId="7636A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03884F8E">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国家级</w:t>
                  </w:r>
                </w:p>
              </w:tc>
              <w:tc>
                <w:tcPr>
                  <w:tcW w:w="1209" w:type="dxa"/>
                  <w:noWrap w:val="0"/>
                  <w:vAlign w:val="top"/>
                </w:tcPr>
                <w:p w14:paraId="4BA11185">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.9</w:t>
                  </w:r>
                </w:p>
              </w:tc>
            </w:tr>
            <w:tr w14:paraId="3DB59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4723B6EC">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省级</w:t>
                  </w:r>
                </w:p>
              </w:tc>
              <w:tc>
                <w:tcPr>
                  <w:tcW w:w="1209" w:type="dxa"/>
                  <w:noWrap w:val="0"/>
                  <w:vAlign w:val="top"/>
                </w:tcPr>
                <w:p w14:paraId="56AED8ED">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.6</w:t>
                  </w:r>
                </w:p>
              </w:tc>
            </w:tr>
            <w:tr w14:paraId="0794A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67CF93F7">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校级 </w:t>
                  </w:r>
                </w:p>
              </w:tc>
              <w:tc>
                <w:tcPr>
                  <w:tcW w:w="1209" w:type="dxa"/>
                  <w:noWrap w:val="0"/>
                  <w:vAlign w:val="top"/>
                </w:tcPr>
                <w:p w14:paraId="738AF766">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.3</w:t>
                  </w:r>
                </w:p>
              </w:tc>
            </w:tr>
            <w:tr w14:paraId="6F540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4051441C">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院级 </w:t>
                  </w:r>
                </w:p>
              </w:tc>
              <w:tc>
                <w:tcPr>
                  <w:tcW w:w="1209" w:type="dxa"/>
                  <w:noWrap w:val="0"/>
                  <w:vAlign w:val="top"/>
                </w:tcPr>
                <w:p w14:paraId="6FA55599">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.2</w:t>
                  </w:r>
                </w:p>
              </w:tc>
            </w:tr>
          </w:tbl>
          <w:p w14:paraId="4C0C6852">
            <w:pPr>
              <w:widowControl/>
              <w:adjustRightInd w:val="0"/>
              <w:snapToGrid w:val="0"/>
              <w:spacing w:before="100" w:beforeAutospacing="1" w:after="100" w:afterAutospacing="1"/>
              <w:rPr>
                <w:rFonts w:hint="eastAsia" w:ascii="宋体" w:hAnsi="宋体" w:eastAsia="宋体" w:cs="宋体"/>
                <w:color w:val="auto"/>
                <w:kern w:val="0"/>
                <w:lang w:eastAsia="zh-CN"/>
              </w:rPr>
            </w:pPr>
          </w:p>
        </w:tc>
        <w:tc>
          <w:tcPr>
            <w:tcW w:w="1056" w:type="dxa"/>
            <w:tcBorders>
              <w:top w:val="single" w:color="auto" w:sz="4" w:space="0"/>
              <w:left w:val="single" w:color="auto" w:sz="4" w:space="0"/>
            </w:tcBorders>
            <w:noWrap w:val="0"/>
            <w:vAlign w:val="center"/>
          </w:tcPr>
          <w:p w14:paraId="44ADC698">
            <w:pPr>
              <w:widowControl/>
              <w:adjustRightInd w:val="0"/>
              <w:snapToGrid w:val="0"/>
              <w:spacing w:before="100" w:beforeAutospacing="1" w:after="100" w:afterAutospacing="1"/>
              <w:rPr>
                <w:rFonts w:hint="eastAsia" w:ascii="宋体" w:hAnsi="宋体" w:cs="宋体"/>
                <w:color w:val="auto"/>
                <w:kern w:val="0"/>
              </w:rPr>
            </w:pPr>
            <w:r>
              <w:rPr>
                <w:rFonts w:ascii="宋体" w:hAnsi="宋体" w:cs="宋体"/>
                <w:color w:val="auto"/>
                <w:kern w:val="0"/>
              </w:rPr>
              <w:t>0.2-0.9</w:t>
            </w:r>
          </w:p>
        </w:tc>
        <w:tc>
          <w:tcPr>
            <w:tcW w:w="975" w:type="dxa"/>
            <w:vMerge w:val="continue"/>
            <w:noWrap w:val="0"/>
            <w:vAlign w:val="center"/>
          </w:tcPr>
          <w:p w14:paraId="4D730513">
            <w:pPr>
              <w:widowControl/>
              <w:adjustRightInd w:val="0"/>
              <w:snapToGrid w:val="0"/>
              <w:spacing w:before="100" w:beforeAutospacing="1" w:after="100" w:afterAutospacing="1"/>
              <w:rPr>
                <w:rFonts w:ascii="宋体" w:hAnsi="宋体" w:cs="宋体"/>
                <w:b/>
                <w:color w:val="auto"/>
                <w:kern w:val="0"/>
                <w:sz w:val="24"/>
              </w:rPr>
            </w:pPr>
          </w:p>
        </w:tc>
        <w:tc>
          <w:tcPr>
            <w:tcW w:w="4384" w:type="dxa"/>
            <w:vMerge w:val="continue"/>
            <w:noWrap w:val="0"/>
            <w:vAlign w:val="center"/>
          </w:tcPr>
          <w:p w14:paraId="0E74C11E">
            <w:pPr>
              <w:ind w:left="210" w:hanging="210"/>
              <w:rPr>
                <w:rFonts w:ascii="宋体" w:hAnsi="宋体"/>
                <w:color w:val="auto"/>
              </w:rPr>
            </w:pPr>
          </w:p>
        </w:tc>
      </w:tr>
      <w:tr w14:paraId="20C8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14:paraId="37BE2C1C">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noWrap w:val="0"/>
            <w:vAlign w:val="center"/>
          </w:tcPr>
          <w:p w14:paraId="12A4B0B2">
            <w:pPr>
              <w:widowControl/>
              <w:adjustRightInd w:val="0"/>
              <w:snapToGrid w:val="0"/>
              <w:spacing w:before="100" w:beforeAutospacing="1" w:after="100" w:afterAutospacing="1"/>
              <w:rPr>
                <w:rFonts w:hint="eastAsia" w:ascii="宋体" w:hAnsi="宋体" w:cs="宋体"/>
                <w:b/>
                <w:color w:val="auto"/>
                <w:kern w:val="0"/>
                <w:sz w:val="24"/>
              </w:rPr>
            </w:pPr>
          </w:p>
        </w:tc>
        <w:tc>
          <w:tcPr>
            <w:tcW w:w="2464" w:type="dxa"/>
            <w:vMerge w:val="continue"/>
            <w:noWrap w:val="0"/>
            <w:vAlign w:val="center"/>
          </w:tcPr>
          <w:p w14:paraId="7A9FEA48">
            <w:pPr>
              <w:rPr>
                <w:rFonts w:hint="eastAsia" w:ascii="宋体" w:hAnsi="宋体" w:cs="宋体"/>
                <w:color w:val="auto"/>
                <w:kern w:val="0"/>
              </w:rPr>
            </w:pPr>
          </w:p>
        </w:tc>
        <w:tc>
          <w:tcPr>
            <w:tcW w:w="5341" w:type="dxa"/>
            <w:tcBorders>
              <w:top w:val="single" w:color="auto" w:sz="4" w:space="0"/>
              <w:bottom w:val="single" w:color="auto" w:sz="4" w:space="0"/>
              <w:right w:val="single" w:color="auto" w:sz="4" w:space="0"/>
            </w:tcBorders>
            <w:noWrap w:val="0"/>
            <w:vAlign w:val="center"/>
          </w:tcPr>
          <w:p w14:paraId="37C49CBA">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学生社团或宿舍等除党团班以外的组织或集体</w:t>
            </w:r>
            <w:r>
              <w:rPr>
                <w:rFonts w:hint="eastAsia" w:ascii="宋体" w:hAnsi="宋体" w:cs="宋体"/>
                <w:bCs w:val="0"/>
                <w:color w:val="auto"/>
                <w:kern w:val="0"/>
              </w:rPr>
              <w:t>荣获集体类奖项的一般成员:</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1209"/>
            </w:tblGrid>
            <w:tr w14:paraId="7EBB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7E48DBEC">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级别</w:t>
                  </w:r>
                </w:p>
              </w:tc>
              <w:tc>
                <w:tcPr>
                  <w:tcW w:w="1209" w:type="dxa"/>
                  <w:noWrap w:val="0"/>
                  <w:vAlign w:val="top"/>
                </w:tcPr>
                <w:p w14:paraId="03BFCFC3">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一般成员</w:t>
                  </w:r>
                </w:p>
              </w:tc>
            </w:tr>
            <w:tr w14:paraId="7FFBD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444FC866">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国家级</w:t>
                  </w:r>
                </w:p>
              </w:tc>
              <w:tc>
                <w:tcPr>
                  <w:tcW w:w="1209" w:type="dxa"/>
                  <w:noWrap w:val="0"/>
                  <w:vAlign w:val="top"/>
                </w:tcPr>
                <w:p w14:paraId="2E67ABB4">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.4</w:t>
                  </w:r>
                </w:p>
              </w:tc>
            </w:tr>
            <w:tr w14:paraId="2BADC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2060BEB2">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省级</w:t>
                  </w:r>
                </w:p>
              </w:tc>
              <w:tc>
                <w:tcPr>
                  <w:tcW w:w="1209" w:type="dxa"/>
                  <w:noWrap w:val="0"/>
                  <w:vAlign w:val="top"/>
                </w:tcPr>
                <w:p w14:paraId="5587D96C">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.3</w:t>
                  </w:r>
                </w:p>
              </w:tc>
            </w:tr>
            <w:tr w14:paraId="3811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noWrap w:val="0"/>
                  <w:vAlign w:val="top"/>
                </w:tcPr>
                <w:p w14:paraId="354AC345">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 xml:space="preserve">校级 </w:t>
                  </w:r>
                </w:p>
              </w:tc>
              <w:tc>
                <w:tcPr>
                  <w:tcW w:w="1209" w:type="dxa"/>
                  <w:noWrap w:val="0"/>
                  <w:vAlign w:val="top"/>
                </w:tcPr>
                <w:p w14:paraId="23F54A0F">
                  <w:pPr>
                    <w:widowControl/>
                    <w:adjustRightInd w:val="0"/>
                    <w:snapToGrid w:val="0"/>
                    <w:spacing w:before="100" w:beforeAutospacing="1" w:after="100" w:afterAutospacing="1"/>
                    <w:rPr>
                      <w:rFonts w:ascii="宋体" w:hAnsi="宋体" w:cs="宋体"/>
                      <w:bCs w:val="0"/>
                      <w:color w:val="auto"/>
                      <w:kern w:val="0"/>
                    </w:rPr>
                  </w:pPr>
                  <w:r>
                    <w:rPr>
                      <w:rFonts w:hint="eastAsia" w:ascii="宋体" w:hAnsi="宋体" w:cs="宋体"/>
                      <w:bCs w:val="0"/>
                      <w:color w:val="auto"/>
                      <w:kern w:val="0"/>
                    </w:rPr>
                    <w:t>0</w:t>
                  </w:r>
                  <w:r>
                    <w:rPr>
                      <w:rFonts w:ascii="宋体" w:hAnsi="宋体" w:cs="宋体"/>
                      <w:bCs w:val="0"/>
                      <w:color w:val="auto"/>
                      <w:kern w:val="0"/>
                    </w:rPr>
                    <w:t>.2</w:t>
                  </w:r>
                </w:p>
              </w:tc>
            </w:tr>
          </w:tbl>
          <w:p w14:paraId="4E230F19">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校级文明宿舍：一般成员0.1</w:t>
            </w:r>
          </w:p>
        </w:tc>
        <w:tc>
          <w:tcPr>
            <w:tcW w:w="1056" w:type="dxa"/>
            <w:tcBorders>
              <w:top w:val="single" w:color="auto" w:sz="4" w:space="0"/>
              <w:left w:val="single" w:color="auto" w:sz="4" w:space="0"/>
            </w:tcBorders>
            <w:noWrap w:val="0"/>
            <w:vAlign w:val="center"/>
          </w:tcPr>
          <w:p w14:paraId="1F31AB40">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0</w:t>
            </w:r>
            <w:r>
              <w:rPr>
                <w:rFonts w:ascii="宋体" w:hAnsi="宋体" w:cs="宋体"/>
                <w:color w:val="auto"/>
                <w:kern w:val="0"/>
              </w:rPr>
              <w:t>.1-0.4</w:t>
            </w:r>
          </w:p>
        </w:tc>
        <w:tc>
          <w:tcPr>
            <w:tcW w:w="975" w:type="dxa"/>
            <w:vMerge w:val="continue"/>
            <w:noWrap w:val="0"/>
            <w:vAlign w:val="center"/>
          </w:tcPr>
          <w:p w14:paraId="2248B557">
            <w:pPr>
              <w:widowControl/>
              <w:adjustRightInd w:val="0"/>
              <w:snapToGrid w:val="0"/>
              <w:spacing w:before="100" w:beforeAutospacing="1" w:after="100" w:afterAutospacing="1"/>
              <w:rPr>
                <w:rFonts w:ascii="宋体" w:hAnsi="宋体" w:cs="宋体"/>
                <w:b/>
                <w:color w:val="auto"/>
                <w:kern w:val="0"/>
                <w:sz w:val="24"/>
              </w:rPr>
            </w:pPr>
          </w:p>
        </w:tc>
        <w:tc>
          <w:tcPr>
            <w:tcW w:w="4384" w:type="dxa"/>
            <w:vMerge w:val="continue"/>
            <w:noWrap w:val="0"/>
            <w:vAlign w:val="center"/>
          </w:tcPr>
          <w:p w14:paraId="2BD9DE1C">
            <w:pPr>
              <w:ind w:left="210" w:hanging="210"/>
              <w:rPr>
                <w:rFonts w:ascii="宋体" w:hAnsi="宋体"/>
                <w:color w:val="auto"/>
              </w:rPr>
            </w:pPr>
          </w:p>
        </w:tc>
      </w:tr>
      <w:tr w14:paraId="68E2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0" w:type="auto"/>
            <w:vMerge w:val="restart"/>
            <w:noWrap w:val="0"/>
            <w:vAlign w:val="center"/>
          </w:tcPr>
          <w:p w14:paraId="6B93F9B8">
            <w:pPr>
              <w:adjustRightInd w:val="0"/>
              <w:snapToGrid w:val="0"/>
              <w:spacing w:before="100" w:beforeAutospacing="1" w:after="100" w:afterAutospacing="1"/>
              <w:rPr>
                <w:rFonts w:ascii="宋体" w:hAnsi="宋体" w:cs="宋体"/>
                <w:b/>
                <w:color w:val="auto"/>
                <w:kern w:val="0"/>
                <w:sz w:val="24"/>
              </w:rPr>
            </w:pPr>
            <w:bookmarkStart w:id="0" w:name="_GoBack"/>
            <w:bookmarkEnd w:id="0"/>
            <w:r>
              <w:rPr>
                <w:rFonts w:hint="eastAsia" w:ascii="宋体" w:hAnsi="宋体" w:cs="宋体"/>
                <w:b/>
                <w:color w:val="auto"/>
                <w:kern w:val="0"/>
                <w:sz w:val="24"/>
              </w:rPr>
              <w:t>家国情怀</w:t>
            </w:r>
          </w:p>
        </w:tc>
        <w:tc>
          <w:tcPr>
            <w:tcW w:w="0" w:type="auto"/>
            <w:tcBorders>
              <w:bottom w:val="single" w:color="auto" w:sz="4" w:space="0"/>
            </w:tcBorders>
            <w:noWrap w:val="0"/>
            <w:vAlign w:val="center"/>
          </w:tcPr>
          <w:p w14:paraId="436CB6E6">
            <w:pPr>
              <w:widowControl/>
              <w:adjustRightInd w:val="0"/>
              <w:snapToGrid w:val="0"/>
              <w:spacing w:before="100" w:beforeAutospacing="1" w:after="100" w:afterAutospacing="1"/>
              <w:rPr>
                <w:rFonts w:hint="eastAsia" w:ascii="宋体" w:hAnsi="宋体" w:cs="宋体"/>
                <w:b/>
                <w:color w:val="auto"/>
                <w:kern w:val="0"/>
                <w:sz w:val="24"/>
              </w:rPr>
            </w:pPr>
            <w:r>
              <w:rPr>
                <w:rFonts w:hint="eastAsia" w:ascii="宋体" w:hAnsi="宋体" w:cs="宋体"/>
                <w:b/>
                <w:color w:val="auto"/>
                <w:kern w:val="0"/>
                <w:sz w:val="24"/>
              </w:rPr>
              <w:t>爱国荣校</w:t>
            </w:r>
          </w:p>
        </w:tc>
        <w:tc>
          <w:tcPr>
            <w:tcW w:w="2464" w:type="dxa"/>
            <w:tcBorders>
              <w:bottom w:val="single" w:color="auto" w:sz="4" w:space="0"/>
            </w:tcBorders>
            <w:noWrap w:val="0"/>
            <w:vAlign w:val="center"/>
          </w:tcPr>
          <w:p w14:paraId="38262686">
            <w:pPr>
              <w:rPr>
                <w:rFonts w:hint="eastAsia" w:ascii="宋体" w:hAnsi="宋体" w:cs="宋体"/>
                <w:color w:val="auto"/>
                <w:kern w:val="0"/>
              </w:rPr>
            </w:pPr>
            <w:r>
              <w:rPr>
                <w:rFonts w:hint="eastAsia" w:ascii="宋体" w:hAnsi="宋体" w:cs="宋体"/>
                <w:color w:val="auto"/>
                <w:kern w:val="0"/>
              </w:rPr>
              <w:t>1）忠于国家利益，爱护学校荣誉；</w:t>
            </w:r>
          </w:p>
          <w:p w14:paraId="0321F49A">
            <w:pPr>
              <w:rPr>
                <w:rFonts w:hint="eastAsia" w:ascii="宋体" w:hAnsi="宋体" w:cs="宋体"/>
                <w:color w:val="auto"/>
                <w:kern w:val="0"/>
              </w:rPr>
            </w:pPr>
            <w:r>
              <w:rPr>
                <w:rFonts w:hint="eastAsia" w:ascii="宋体" w:hAnsi="宋体" w:cs="宋体"/>
                <w:color w:val="auto"/>
                <w:kern w:val="0"/>
              </w:rPr>
              <w:t>2）在维护国家利益寄及学校荣誉方面有突出表现；</w:t>
            </w:r>
          </w:p>
        </w:tc>
        <w:tc>
          <w:tcPr>
            <w:tcW w:w="5341" w:type="dxa"/>
            <w:tcBorders>
              <w:top w:val="single" w:color="auto" w:sz="4" w:space="0"/>
              <w:bottom w:val="single" w:color="auto" w:sz="4" w:space="0"/>
              <w:right w:val="single" w:color="auto" w:sz="4" w:space="0"/>
            </w:tcBorders>
            <w:noWrap w:val="0"/>
            <w:vAlign w:val="center"/>
          </w:tcPr>
          <w:p w14:paraId="1F37B819">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在爱国荣校维护国家和学校集体利益和荣誉方面，有突出表现，或收到各级表彰者，全国(</w:t>
            </w:r>
            <w:r>
              <w:rPr>
                <w:rFonts w:ascii="宋体" w:hAnsi="宋体" w:cs="宋体"/>
                <w:color w:val="auto"/>
                <w:kern w:val="0"/>
              </w:rPr>
              <w:t>3.0</w:t>
            </w:r>
            <w:r>
              <w:rPr>
                <w:rFonts w:hint="eastAsia" w:ascii="宋体" w:hAnsi="宋体" w:cs="宋体"/>
                <w:color w:val="auto"/>
                <w:kern w:val="0"/>
              </w:rPr>
              <w:t>)，省（2</w:t>
            </w:r>
            <w:r>
              <w:rPr>
                <w:rFonts w:ascii="宋体" w:hAnsi="宋体" w:cs="宋体"/>
                <w:color w:val="auto"/>
                <w:kern w:val="0"/>
              </w:rPr>
              <w:t>.0</w:t>
            </w:r>
            <w:r>
              <w:rPr>
                <w:rFonts w:hint="eastAsia" w:ascii="宋体" w:hAnsi="宋体" w:cs="宋体"/>
                <w:color w:val="auto"/>
                <w:kern w:val="0"/>
              </w:rPr>
              <w:t>）、市（</w:t>
            </w:r>
            <w:r>
              <w:rPr>
                <w:rFonts w:ascii="宋体" w:hAnsi="宋体" w:cs="宋体"/>
                <w:color w:val="auto"/>
                <w:kern w:val="0"/>
              </w:rPr>
              <w:t>1.5</w:t>
            </w:r>
            <w:r>
              <w:rPr>
                <w:rFonts w:hint="eastAsia" w:ascii="宋体" w:hAnsi="宋体" w:cs="宋体"/>
                <w:color w:val="auto"/>
                <w:kern w:val="0"/>
              </w:rPr>
              <w:t>）、校（</w:t>
            </w:r>
            <w:r>
              <w:rPr>
                <w:rFonts w:ascii="宋体" w:hAnsi="宋体" w:cs="宋体"/>
                <w:color w:val="auto"/>
                <w:kern w:val="0"/>
              </w:rPr>
              <w:t>1.0</w:t>
            </w:r>
            <w:r>
              <w:rPr>
                <w:rFonts w:hint="eastAsia" w:ascii="宋体" w:hAnsi="宋体" w:cs="宋体"/>
                <w:color w:val="auto"/>
                <w:kern w:val="0"/>
              </w:rPr>
              <w:t>）、院系(</w:t>
            </w:r>
            <w:r>
              <w:rPr>
                <w:rFonts w:ascii="宋体" w:hAnsi="宋体" w:cs="宋体"/>
                <w:color w:val="auto"/>
                <w:kern w:val="0"/>
              </w:rPr>
              <w:t>0.8</w:t>
            </w:r>
            <w:r>
              <w:rPr>
                <w:rFonts w:hint="eastAsia" w:ascii="宋体" w:hAnsi="宋体" w:cs="宋体"/>
                <w:color w:val="auto"/>
                <w:kern w:val="0"/>
              </w:rPr>
              <w:t>)。</w:t>
            </w:r>
          </w:p>
        </w:tc>
        <w:tc>
          <w:tcPr>
            <w:tcW w:w="1056" w:type="dxa"/>
            <w:tcBorders>
              <w:left w:val="single" w:color="auto" w:sz="4" w:space="0"/>
              <w:bottom w:val="single" w:color="auto" w:sz="4" w:space="0"/>
            </w:tcBorders>
            <w:noWrap w:val="0"/>
            <w:vAlign w:val="center"/>
          </w:tcPr>
          <w:p w14:paraId="3343F6F3">
            <w:pPr>
              <w:widowControl/>
              <w:adjustRightInd w:val="0"/>
              <w:snapToGrid w:val="0"/>
              <w:spacing w:before="100" w:beforeAutospacing="1" w:after="100" w:afterAutospacing="1"/>
              <w:rPr>
                <w:rFonts w:ascii="宋体" w:hAnsi="宋体" w:cs="宋体"/>
                <w:color w:val="auto"/>
                <w:kern w:val="0"/>
              </w:rPr>
            </w:pPr>
            <w:r>
              <w:rPr>
                <w:rFonts w:ascii="宋体" w:hAnsi="宋体" w:cs="宋体"/>
                <w:color w:val="auto"/>
                <w:kern w:val="0"/>
              </w:rPr>
              <w:t>0.8-3.0</w:t>
            </w:r>
          </w:p>
        </w:tc>
        <w:tc>
          <w:tcPr>
            <w:tcW w:w="975" w:type="dxa"/>
            <w:vMerge w:val="restart"/>
            <w:noWrap w:val="0"/>
            <w:vAlign w:val="center"/>
          </w:tcPr>
          <w:p w14:paraId="71B4C5DB">
            <w:pPr>
              <w:rPr>
                <w:rFonts w:ascii="宋体" w:hAnsi="宋体" w:cs="宋体"/>
                <w:b/>
                <w:color w:val="auto"/>
                <w:kern w:val="0"/>
                <w:sz w:val="24"/>
              </w:rPr>
            </w:pPr>
            <w:r>
              <w:rPr>
                <w:rFonts w:hint="eastAsia" w:ascii="宋体" w:hAnsi="宋体"/>
                <w:b/>
                <w:color w:val="auto"/>
              </w:rPr>
              <w:t>“家国情怀”总加分上限为5分，累计5分以上者按5分计。</w:t>
            </w:r>
          </w:p>
        </w:tc>
        <w:tc>
          <w:tcPr>
            <w:tcW w:w="4384" w:type="dxa"/>
            <w:noWrap w:val="0"/>
            <w:vAlign w:val="center"/>
          </w:tcPr>
          <w:p w14:paraId="460BEA50">
            <w:pPr>
              <w:ind w:left="239" w:hanging="239" w:hangingChars="99"/>
              <w:rPr>
                <w:rFonts w:ascii="宋体" w:hAnsi="宋体" w:cs="宋体"/>
                <w:b/>
                <w:color w:val="auto"/>
                <w:kern w:val="0"/>
                <w:sz w:val="24"/>
              </w:rPr>
            </w:pPr>
            <w:r>
              <w:rPr>
                <w:rFonts w:hint="eastAsia" w:ascii="宋体" w:hAnsi="宋体" w:cs="宋体"/>
                <w:b/>
                <w:color w:val="auto"/>
                <w:kern w:val="0"/>
                <w:sz w:val="24"/>
              </w:rPr>
              <w:t>“爱国荣校”加分上限为3分，累计3分以上按3分计算。</w:t>
            </w:r>
          </w:p>
        </w:tc>
      </w:tr>
      <w:tr w14:paraId="295F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0" w:type="auto"/>
            <w:vMerge w:val="continue"/>
            <w:noWrap w:val="0"/>
            <w:vAlign w:val="center"/>
          </w:tcPr>
          <w:p w14:paraId="418E721C">
            <w:pPr>
              <w:widowControl/>
              <w:adjustRightInd w:val="0"/>
              <w:snapToGrid w:val="0"/>
              <w:spacing w:before="100" w:beforeAutospacing="1" w:after="100" w:afterAutospacing="1"/>
              <w:rPr>
                <w:rFonts w:ascii="宋体" w:hAnsi="宋体" w:cs="宋体"/>
                <w:b/>
                <w:color w:val="auto"/>
                <w:kern w:val="0"/>
                <w:sz w:val="24"/>
              </w:rPr>
            </w:pPr>
          </w:p>
        </w:tc>
        <w:tc>
          <w:tcPr>
            <w:tcW w:w="0" w:type="auto"/>
            <w:vMerge w:val="restart"/>
            <w:tcBorders>
              <w:right w:val="single" w:color="auto" w:sz="4" w:space="0"/>
            </w:tcBorders>
            <w:noWrap w:val="0"/>
            <w:vAlign w:val="center"/>
          </w:tcPr>
          <w:p w14:paraId="56C4355D">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b/>
                <w:color w:val="auto"/>
                <w:sz w:val="24"/>
              </w:rPr>
              <w:t>劳动素养</w:t>
            </w:r>
          </w:p>
        </w:tc>
        <w:tc>
          <w:tcPr>
            <w:tcW w:w="2464" w:type="dxa"/>
            <w:vMerge w:val="restart"/>
            <w:tcBorders>
              <w:left w:val="single" w:color="auto" w:sz="4" w:space="0"/>
              <w:right w:val="single" w:color="auto" w:sz="4" w:space="0"/>
            </w:tcBorders>
            <w:noWrap w:val="0"/>
            <w:vAlign w:val="center"/>
          </w:tcPr>
          <w:p w14:paraId="34CFE919">
            <w:pPr>
              <w:rPr>
                <w:rFonts w:ascii="宋体" w:hAnsi="宋体" w:cs="宋体"/>
                <w:bCs w:val="0"/>
                <w:color w:val="auto"/>
                <w:kern w:val="0"/>
              </w:rPr>
            </w:pPr>
            <w:r>
              <w:rPr>
                <w:rFonts w:hint="eastAsia" w:ascii="宋体" w:hAnsi="宋体" w:cs="宋体"/>
                <w:bCs w:val="0"/>
                <w:color w:val="auto"/>
                <w:kern w:val="0"/>
              </w:rPr>
              <w:t>服务集体</w:t>
            </w:r>
          </w:p>
        </w:tc>
        <w:tc>
          <w:tcPr>
            <w:tcW w:w="5341" w:type="dxa"/>
            <w:tcBorders>
              <w:top w:val="single" w:color="auto" w:sz="4" w:space="0"/>
              <w:left w:val="single" w:color="auto" w:sz="4" w:space="0"/>
              <w:right w:val="single" w:color="auto" w:sz="4" w:space="0"/>
            </w:tcBorders>
            <w:noWrap w:val="0"/>
            <w:vAlign w:val="center"/>
          </w:tcPr>
          <w:p w14:paraId="2E5D835E">
            <w:pPr>
              <w:widowControl/>
              <w:adjustRightInd w:val="0"/>
              <w:snapToGrid w:val="0"/>
              <w:spacing w:before="100" w:beforeAutospacing="1" w:after="100" w:afterAutospacing="1"/>
              <w:rPr>
                <w:rFonts w:hint="eastAsia" w:ascii="宋体" w:hAnsi="宋体" w:cs="宋体"/>
                <w:bCs w:val="0"/>
                <w:color w:val="auto"/>
                <w:kern w:val="0"/>
              </w:rPr>
            </w:pPr>
            <w:r>
              <w:rPr>
                <w:rFonts w:hint="eastAsia" w:ascii="宋体" w:hAnsi="宋体" w:cs="宋体"/>
                <w:bCs w:val="0"/>
                <w:color w:val="auto"/>
                <w:kern w:val="0"/>
              </w:rPr>
              <w:t>担任院级以上党团班组织的学生骨干（包括团委、学生会部门负责人以上，党支部委员、班委、团支委等），根据年度考核结果：</w:t>
            </w:r>
          </w:p>
          <w:p w14:paraId="31814AC2">
            <w:r>
              <w:rPr>
                <w:rFonts w:hint="eastAsia" w:ascii="宋体" w:hAnsi="宋体" w:cs="宋体"/>
                <w:bCs w:val="0"/>
                <w:color w:val="auto"/>
                <w:kern w:val="0"/>
              </w:rPr>
              <w:t>优秀(2.0)、合格(1.2)、基本合格(0.6)、不合格(不加分)。</w:t>
            </w:r>
          </w:p>
          <w:p w14:paraId="26C09893">
            <w:pPr>
              <w:widowControl/>
              <w:adjustRightInd w:val="0"/>
              <w:snapToGrid w:val="0"/>
              <w:spacing w:before="100" w:beforeAutospacing="1" w:after="100" w:afterAutospacing="1"/>
              <w:rPr>
                <w:rFonts w:ascii="宋体" w:hAnsi="宋体" w:cs="宋体"/>
                <w:bCs w:val="0"/>
                <w:color w:val="auto"/>
                <w:kern w:val="0"/>
              </w:rPr>
            </w:pPr>
          </w:p>
        </w:tc>
        <w:tc>
          <w:tcPr>
            <w:tcW w:w="1056" w:type="dxa"/>
            <w:tcBorders>
              <w:top w:val="single" w:color="auto" w:sz="4" w:space="0"/>
              <w:left w:val="single" w:color="auto" w:sz="4" w:space="0"/>
              <w:bottom w:val="single" w:color="auto" w:sz="4" w:space="0"/>
            </w:tcBorders>
            <w:noWrap w:val="0"/>
            <w:vAlign w:val="center"/>
          </w:tcPr>
          <w:p w14:paraId="64B2871F">
            <w:pPr>
              <w:widowControl/>
              <w:adjustRightInd w:val="0"/>
              <w:snapToGrid w:val="0"/>
              <w:spacing w:before="100" w:beforeAutospacing="1" w:after="100" w:afterAutospacing="1"/>
              <w:rPr>
                <w:rFonts w:hint="eastAsia" w:ascii="宋体" w:hAnsi="宋体" w:cs="宋体"/>
                <w:color w:val="auto"/>
                <w:kern w:val="0"/>
              </w:rPr>
            </w:pPr>
            <w:r>
              <w:rPr>
                <w:rFonts w:ascii="宋体" w:hAnsi="宋体" w:cs="宋体"/>
                <w:color w:val="auto"/>
                <w:kern w:val="0"/>
              </w:rPr>
              <w:t>0.</w:t>
            </w:r>
            <w:r>
              <w:rPr>
                <w:rFonts w:hint="eastAsia" w:ascii="宋体" w:hAnsi="宋体" w:cs="宋体"/>
                <w:color w:val="auto"/>
                <w:kern w:val="0"/>
              </w:rPr>
              <w:t>6-2.0</w:t>
            </w:r>
          </w:p>
        </w:tc>
        <w:tc>
          <w:tcPr>
            <w:tcW w:w="975" w:type="dxa"/>
            <w:vMerge w:val="continue"/>
            <w:noWrap w:val="0"/>
            <w:vAlign w:val="center"/>
          </w:tcPr>
          <w:p w14:paraId="44FA80E6">
            <w:pPr>
              <w:rPr>
                <w:rFonts w:ascii="宋体" w:hAnsi="宋体"/>
                <w:color w:val="auto"/>
              </w:rPr>
            </w:pPr>
          </w:p>
        </w:tc>
        <w:tc>
          <w:tcPr>
            <w:tcW w:w="4384" w:type="dxa"/>
            <w:vMerge w:val="restart"/>
            <w:noWrap w:val="0"/>
            <w:vAlign w:val="center"/>
          </w:tcPr>
          <w:p w14:paraId="4DCB811C">
            <w:pPr>
              <w:ind w:left="208" w:hanging="207" w:hangingChars="99"/>
              <w:rPr>
                <w:rFonts w:ascii="宋体" w:hAnsi="宋体"/>
                <w:color w:val="auto"/>
              </w:rPr>
            </w:pPr>
            <w:r>
              <w:rPr>
                <w:rFonts w:hint="eastAsia" w:ascii="宋体" w:hAnsi="宋体"/>
                <w:color w:val="auto"/>
              </w:rPr>
              <w:t>1、原则上学生干部必须任期一届届满方可加分，如有特殊情况，中断任职，且任期过半，经申请同意方可加分。</w:t>
            </w:r>
          </w:p>
          <w:p w14:paraId="39605C8F">
            <w:pPr>
              <w:ind w:left="208" w:hanging="207" w:hangingChars="99"/>
              <w:rPr>
                <w:rFonts w:ascii="宋体" w:hAnsi="宋体"/>
                <w:color w:val="auto"/>
              </w:rPr>
            </w:pPr>
            <w:r>
              <w:rPr>
                <w:rFonts w:hint="eastAsia" w:ascii="宋体" w:hAnsi="宋体"/>
                <w:color w:val="auto"/>
              </w:rPr>
              <w:t>2、校、院、班各级学生干部在年度结束后要进行述职评议，报上一级组织审核，并根据评议结果，基本合格以上等级予以加分，不合格的不予以加分。</w:t>
            </w:r>
          </w:p>
          <w:p w14:paraId="19F0609C">
            <w:pPr>
              <w:ind w:left="208" w:hanging="207" w:hangingChars="99"/>
              <w:rPr>
                <w:rFonts w:ascii="宋体" w:hAnsi="宋体"/>
                <w:color w:val="auto"/>
              </w:rPr>
            </w:pPr>
            <w:r>
              <w:rPr>
                <w:rFonts w:hint="eastAsia" w:ascii="宋体" w:hAnsi="宋体"/>
                <w:color w:val="auto"/>
              </w:rPr>
              <w:t>3、兼任多项职务者，如所有</w:t>
            </w:r>
            <w:r>
              <w:rPr>
                <w:rFonts w:hint="eastAsia" w:ascii="宋体" w:hAnsi="宋体"/>
                <w:color w:val="auto"/>
                <w:lang w:val="en-US" w:eastAsia="zh-CN"/>
              </w:rPr>
              <w:t>需参与考核的</w:t>
            </w:r>
            <w:r>
              <w:rPr>
                <w:rFonts w:hint="eastAsia" w:ascii="宋体" w:hAnsi="宋体"/>
                <w:color w:val="auto"/>
              </w:rPr>
              <w:t>任职均被评为</w:t>
            </w:r>
            <w:r>
              <w:rPr>
                <w:rFonts w:hint="eastAsia" w:ascii="宋体" w:hAnsi="宋体"/>
                <w:color w:val="auto"/>
                <w:lang w:val="en-US" w:eastAsia="zh-CN"/>
              </w:rPr>
              <w:t>及格及以上</w:t>
            </w:r>
            <w:r>
              <w:rPr>
                <w:rFonts w:hint="eastAsia" w:ascii="宋体" w:hAnsi="宋体"/>
                <w:color w:val="auto"/>
              </w:rPr>
              <w:t>则可以累加，</w:t>
            </w:r>
            <w:r>
              <w:rPr>
                <w:rFonts w:hint="eastAsia" w:ascii="宋体" w:hAnsi="宋体"/>
                <w:b/>
                <w:color w:val="auto"/>
              </w:rPr>
              <w:t>最多叠加2项</w:t>
            </w:r>
            <w:r>
              <w:rPr>
                <w:rFonts w:hint="eastAsia" w:ascii="宋体" w:hAnsi="宋体"/>
                <w:color w:val="auto"/>
              </w:rPr>
              <w:t>；如有任一任职被评为不合格则所有任职均不加分；如任职有优秀和合格，则只计最高分的一个任职，其他任职不累加。</w:t>
            </w:r>
          </w:p>
          <w:p w14:paraId="1148D14D">
            <w:pPr>
              <w:ind w:left="208" w:hanging="207" w:hangingChars="99"/>
              <w:rPr>
                <w:rFonts w:hint="eastAsia" w:ascii="宋体" w:hAnsi="宋体"/>
                <w:color w:val="auto"/>
                <w:lang w:val="en-US" w:eastAsia="zh-CN"/>
              </w:rPr>
            </w:pPr>
            <w:r>
              <w:rPr>
                <w:rFonts w:hint="eastAsia" w:ascii="宋体" w:hAnsi="宋体"/>
                <w:color w:val="auto"/>
              </w:rPr>
              <w:t>4、学院制订学生干部考核办法，</w:t>
            </w:r>
            <w:r>
              <w:rPr>
                <w:rFonts w:hint="eastAsia" w:ascii="宋体" w:hAnsi="宋体"/>
                <w:color w:val="auto"/>
                <w:lang w:val="en-US" w:eastAsia="zh-CN"/>
              </w:rPr>
              <w:t>除</w:t>
            </w:r>
            <w:r>
              <w:rPr>
                <w:rFonts w:hint="eastAsia" w:ascii="宋体" w:hAnsi="宋体"/>
                <w:color w:val="auto"/>
              </w:rPr>
              <w:t>团委、学生会的一般成员</w:t>
            </w:r>
            <w:r>
              <w:rPr>
                <w:rFonts w:hint="eastAsia" w:ascii="宋体" w:hAnsi="宋体"/>
                <w:color w:val="auto"/>
                <w:lang w:val="en-US" w:eastAsia="zh-CN"/>
              </w:rPr>
              <w:t>和宿舍长之外的</w:t>
            </w:r>
            <w:r>
              <w:rPr>
                <w:rFonts w:hint="eastAsia" w:ascii="宋体" w:hAnsi="宋体"/>
                <w:color w:val="auto"/>
              </w:rPr>
              <w:t>学生干部按要求参加考核后根据考核结果申请加分。团委、学生会的一般成员</w:t>
            </w:r>
            <w:r>
              <w:rPr>
                <w:rFonts w:hint="eastAsia" w:ascii="宋体" w:hAnsi="宋体"/>
                <w:color w:val="auto"/>
                <w:lang w:val="en-US" w:eastAsia="zh-CN"/>
              </w:rPr>
              <w:t>和宿舍长需在学院登记备案，当学年若出现未履行职责等失职行为，经学院核实后取消加分资格。</w:t>
            </w:r>
          </w:p>
          <w:p w14:paraId="6FF79CB8"/>
          <w:p w14:paraId="50C18E3A">
            <w:pPr>
              <w:ind w:left="209" w:hanging="209" w:hangingChars="99"/>
              <w:rPr>
                <w:rFonts w:hint="eastAsia" w:ascii="宋体" w:hAnsi="宋体"/>
                <w:color w:val="auto"/>
              </w:rPr>
            </w:pPr>
            <w:r>
              <w:rPr>
                <w:rFonts w:hint="eastAsia" w:ascii="宋体" w:hAnsi="宋体" w:cs="宋体"/>
                <w:b/>
                <w:bCs w:val="0"/>
                <w:color w:val="auto"/>
                <w:kern w:val="0"/>
                <w:lang w:val="en-US" w:eastAsia="zh-CN"/>
              </w:rPr>
              <w:t>5</w:t>
            </w:r>
            <w:r>
              <w:rPr>
                <w:rFonts w:hint="eastAsia" w:ascii="宋体" w:hAnsi="宋体" w:cs="宋体"/>
                <w:b/>
                <w:bCs w:val="0"/>
                <w:color w:val="auto"/>
                <w:kern w:val="0"/>
              </w:rPr>
              <w:t>、“劳动素养”加分上限为4.0分，累计4.0分以上按4.0分计算。</w:t>
            </w:r>
          </w:p>
        </w:tc>
      </w:tr>
      <w:tr w14:paraId="2524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0" w:type="auto"/>
            <w:vMerge w:val="continue"/>
            <w:noWrap w:val="0"/>
            <w:vAlign w:val="center"/>
          </w:tcPr>
          <w:p w14:paraId="2BB52429">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tcBorders>
              <w:right w:val="single" w:color="auto" w:sz="4" w:space="0"/>
            </w:tcBorders>
            <w:noWrap w:val="0"/>
            <w:vAlign w:val="center"/>
          </w:tcPr>
          <w:p w14:paraId="3AD364F3">
            <w:pPr>
              <w:widowControl/>
              <w:adjustRightInd w:val="0"/>
              <w:snapToGrid w:val="0"/>
              <w:spacing w:before="100" w:beforeAutospacing="1" w:after="100" w:afterAutospacing="1"/>
              <w:rPr>
                <w:rFonts w:hint="eastAsia" w:ascii="宋体" w:hAnsi="宋体"/>
                <w:b/>
                <w:color w:val="auto"/>
                <w:sz w:val="24"/>
              </w:rPr>
            </w:pPr>
          </w:p>
        </w:tc>
        <w:tc>
          <w:tcPr>
            <w:tcW w:w="2464" w:type="dxa"/>
            <w:vMerge w:val="continue"/>
            <w:tcBorders>
              <w:left w:val="single" w:color="auto" w:sz="4" w:space="0"/>
              <w:right w:val="single" w:color="auto" w:sz="4" w:space="0"/>
            </w:tcBorders>
            <w:noWrap w:val="0"/>
            <w:vAlign w:val="center"/>
          </w:tcPr>
          <w:p w14:paraId="7C8F9D2C">
            <w:pPr>
              <w:rPr>
                <w:rFonts w:hint="eastAsia" w:ascii="宋体" w:hAnsi="宋体" w:cs="宋体"/>
                <w:color w:val="auto"/>
                <w:kern w:val="0"/>
              </w:rPr>
            </w:pPr>
          </w:p>
        </w:tc>
        <w:tc>
          <w:tcPr>
            <w:tcW w:w="5341" w:type="dxa"/>
            <w:tcBorders>
              <w:top w:val="single" w:color="auto" w:sz="4" w:space="0"/>
              <w:left w:val="single" w:color="auto" w:sz="4" w:space="0"/>
              <w:right w:val="single" w:color="auto" w:sz="4" w:space="0"/>
            </w:tcBorders>
            <w:noWrap w:val="0"/>
            <w:vAlign w:val="center"/>
          </w:tcPr>
          <w:p w14:paraId="1E8A6D3B">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担任学生社团或宿舍等除党团班以外的组织或集体的主要负责人根据年度述职评议结果：</w:t>
            </w:r>
          </w:p>
          <w:p w14:paraId="2CB7583E">
            <w:r>
              <w:rPr>
                <w:rFonts w:hint="eastAsia" w:ascii="宋体" w:hAnsi="宋体" w:cs="宋体"/>
                <w:color w:val="auto"/>
                <w:kern w:val="0"/>
              </w:rPr>
              <w:t>学生社团骨干：</w:t>
            </w:r>
            <w:r>
              <w:rPr>
                <w:rFonts w:hint="eastAsia" w:ascii="宋体" w:hAnsi="宋体" w:cs="宋体"/>
                <w:bCs w:val="0"/>
                <w:color w:val="auto"/>
                <w:kern w:val="0"/>
              </w:rPr>
              <w:t>优秀(</w:t>
            </w:r>
            <w:r>
              <w:rPr>
                <w:rFonts w:ascii="宋体" w:hAnsi="宋体" w:cs="宋体"/>
                <w:bCs w:val="0"/>
                <w:color w:val="auto"/>
                <w:kern w:val="0"/>
              </w:rPr>
              <w:t>1.0)</w:t>
            </w:r>
            <w:r>
              <w:rPr>
                <w:rFonts w:hint="eastAsia" w:ascii="宋体" w:hAnsi="宋体" w:cs="宋体"/>
                <w:bCs w:val="0"/>
                <w:color w:val="auto"/>
                <w:kern w:val="0"/>
              </w:rPr>
              <w:t>、合格(</w:t>
            </w:r>
            <w:r>
              <w:rPr>
                <w:rFonts w:ascii="宋体" w:hAnsi="宋体" w:cs="宋体"/>
                <w:bCs w:val="0"/>
                <w:color w:val="auto"/>
                <w:kern w:val="0"/>
              </w:rPr>
              <w:t>0.8)</w:t>
            </w:r>
            <w:r>
              <w:rPr>
                <w:rFonts w:hint="eastAsia" w:ascii="宋体" w:hAnsi="宋体" w:cs="宋体"/>
                <w:bCs w:val="0"/>
                <w:color w:val="auto"/>
                <w:kern w:val="0"/>
              </w:rPr>
              <w:t>、基本合格(</w:t>
            </w:r>
            <w:r>
              <w:rPr>
                <w:rFonts w:ascii="宋体" w:hAnsi="宋体" w:cs="宋体"/>
                <w:bCs w:val="0"/>
                <w:color w:val="auto"/>
                <w:kern w:val="0"/>
              </w:rPr>
              <w:t>0.6)</w:t>
            </w:r>
            <w:r>
              <w:rPr>
                <w:rFonts w:hint="eastAsia" w:ascii="宋体" w:hAnsi="宋体" w:cs="宋体"/>
                <w:bCs w:val="0"/>
                <w:color w:val="auto"/>
                <w:kern w:val="0"/>
              </w:rPr>
              <w:t>、不合格(不加分)。</w:t>
            </w:r>
          </w:p>
          <w:p w14:paraId="174BA34F">
            <w:pPr>
              <w:widowControl/>
              <w:adjustRightInd w:val="0"/>
              <w:snapToGrid w:val="0"/>
              <w:spacing w:before="100" w:beforeAutospacing="1" w:after="100" w:afterAutospacing="1"/>
              <w:rPr>
                <w:rFonts w:hint="eastAsia" w:ascii="宋体" w:hAnsi="宋体" w:cs="宋体"/>
                <w:bCs w:val="0"/>
                <w:color w:val="auto"/>
                <w:kern w:val="0"/>
              </w:rPr>
            </w:pPr>
          </w:p>
        </w:tc>
        <w:tc>
          <w:tcPr>
            <w:tcW w:w="1056" w:type="dxa"/>
            <w:tcBorders>
              <w:top w:val="single" w:color="auto" w:sz="4" w:space="0"/>
              <w:left w:val="single" w:color="auto" w:sz="4" w:space="0"/>
              <w:bottom w:val="single" w:color="auto" w:sz="4" w:space="0"/>
            </w:tcBorders>
            <w:noWrap w:val="0"/>
            <w:vAlign w:val="center"/>
          </w:tcPr>
          <w:p w14:paraId="1AD4A826">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0.6-1.0</w:t>
            </w:r>
          </w:p>
        </w:tc>
        <w:tc>
          <w:tcPr>
            <w:tcW w:w="975" w:type="dxa"/>
            <w:vMerge w:val="continue"/>
            <w:noWrap w:val="0"/>
            <w:vAlign w:val="center"/>
          </w:tcPr>
          <w:p w14:paraId="5D30CC08">
            <w:pPr>
              <w:rPr>
                <w:rFonts w:ascii="宋体" w:hAnsi="宋体"/>
                <w:color w:val="auto"/>
              </w:rPr>
            </w:pPr>
          </w:p>
        </w:tc>
        <w:tc>
          <w:tcPr>
            <w:tcW w:w="4384" w:type="dxa"/>
            <w:vMerge w:val="continue"/>
            <w:noWrap w:val="0"/>
            <w:vAlign w:val="center"/>
          </w:tcPr>
          <w:p w14:paraId="051BF386">
            <w:pPr>
              <w:ind w:left="210" w:hanging="210"/>
              <w:rPr>
                <w:rFonts w:ascii="宋体" w:hAnsi="宋体"/>
                <w:color w:val="auto"/>
              </w:rPr>
            </w:pPr>
          </w:p>
        </w:tc>
      </w:tr>
      <w:tr w14:paraId="6EA4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0" w:type="auto"/>
            <w:vMerge w:val="continue"/>
            <w:noWrap w:val="0"/>
            <w:vAlign w:val="center"/>
          </w:tcPr>
          <w:p w14:paraId="41C34A79">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tcBorders>
              <w:right w:val="single" w:color="auto" w:sz="4" w:space="0"/>
            </w:tcBorders>
            <w:noWrap w:val="0"/>
            <w:vAlign w:val="center"/>
          </w:tcPr>
          <w:p w14:paraId="55851F15">
            <w:pPr>
              <w:widowControl/>
              <w:adjustRightInd w:val="0"/>
              <w:snapToGrid w:val="0"/>
              <w:spacing w:before="100" w:beforeAutospacing="1" w:after="100" w:afterAutospacing="1"/>
              <w:rPr>
                <w:rFonts w:hint="eastAsia" w:ascii="宋体" w:hAnsi="宋体"/>
                <w:b/>
                <w:color w:val="auto"/>
                <w:sz w:val="24"/>
              </w:rPr>
            </w:pPr>
          </w:p>
        </w:tc>
        <w:tc>
          <w:tcPr>
            <w:tcW w:w="2464" w:type="dxa"/>
            <w:vMerge w:val="continue"/>
            <w:tcBorders>
              <w:left w:val="single" w:color="auto" w:sz="4" w:space="0"/>
              <w:right w:val="single" w:color="auto" w:sz="4" w:space="0"/>
            </w:tcBorders>
            <w:noWrap w:val="0"/>
            <w:vAlign w:val="center"/>
          </w:tcPr>
          <w:p w14:paraId="4044CC9E">
            <w:pPr>
              <w:rPr>
                <w:rFonts w:hint="eastAsia" w:ascii="宋体" w:hAnsi="宋体" w:cs="宋体"/>
                <w:color w:val="auto"/>
                <w:kern w:val="0"/>
              </w:rPr>
            </w:pPr>
          </w:p>
        </w:tc>
        <w:tc>
          <w:tcPr>
            <w:tcW w:w="5341" w:type="dxa"/>
            <w:tcBorders>
              <w:top w:val="single" w:color="auto" w:sz="4" w:space="0"/>
              <w:left w:val="single" w:color="auto" w:sz="4" w:space="0"/>
              <w:right w:val="single" w:color="auto" w:sz="4" w:space="0"/>
            </w:tcBorders>
            <w:noWrap w:val="0"/>
            <w:vAlign w:val="center"/>
          </w:tcPr>
          <w:p w14:paraId="10993B75">
            <w:pPr>
              <w:widowControl/>
              <w:adjustRightInd w:val="0"/>
              <w:snapToGrid w:val="0"/>
              <w:spacing w:before="100" w:beforeAutospacing="1" w:after="100" w:afterAutospacing="1"/>
              <w:rPr>
                <w:rFonts w:hint="default" w:ascii="宋体" w:hAnsi="宋体" w:eastAsia="宋体"/>
                <w:color w:val="auto"/>
                <w:lang w:val="en-US" w:eastAsia="zh-CN"/>
              </w:rPr>
            </w:pPr>
            <w:r>
              <w:rPr>
                <w:rFonts w:hint="eastAsia" w:ascii="宋体" w:hAnsi="宋体" w:cs="宋体"/>
                <w:bCs w:val="0"/>
                <w:color w:val="auto"/>
                <w:kern w:val="0"/>
              </w:rPr>
              <w:t>担任院级以上团委、学生会</w:t>
            </w:r>
            <w:r>
              <w:rPr>
                <w:rFonts w:hint="eastAsia" w:ascii="宋体" w:hAnsi="宋体" w:cs="宋体"/>
                <w:bCs w:val="0"/>
                <w:color w:val="auto"/>
                <w:kern w:val="0"/>
                <w:lang w:val="en-US" w:eastAsia="zh-CN"/>
              </w:rPr>
              <w:t>的一般成员：0.6。</w:t>
            </w:r>
          </w:p>
          <w:p w14:paraId="6C2D1281">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olor w:val="auto"/>
                <w:lang w:val="en-US" w:eastAsia="zh-CN"/>
              </w:rPr>
              <w:t>担任</w:t>
            </w:r>
            <w:r>
              <w:rPr>
                <w:rFonts w:hint="eastAsia" w:ascii="宋体" w:hAnsi="宋体" w:cs="宋体"/>
                <w:bCs w:val="0"/>
                <w:color w:val="auto"/>
                <w:kern w:val="0"/>
              </w:rPr>
              <w:t>宿舍长：0.1。</w:t>
            </w:r>
          </w:p>
        </w:tc>
        <w:tc>
          <w:tcPr>
            <w:tcW w:w="1056" w:type="dxa"/>
            <w:tcBorders>
              <w:top w:val="single" w:color="auto" w:sz="4" w:space="0"/>
              <w:left w:val="single" w:color="auto" w:sz="4" w:space="0"/>
              <w:bottom w:val="single" w:color="auto" w:sz="4" w:space="0"/>
            </w:tcBorders>
            <w:noWrap w:val="0"/>
            <w:vAlign w:val="center"/>
          </w:tcPr>
          <w:p w14:paraId="7973C099">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0.</w:t>
            </w:r>
            <w:r>
              <w:rPr>
                <w:rFonts w:hint="eastAsia" w:ascii="宋体" w:hAnsi="宋体" w:cs="宋体"/>
                <w:color w:val="auto"/>
                <w:kern w:val="0"/>
                <w:lang w:val="en-US" w:eastAsia="zh-CN"/>
              </w:rPr>
              <w:t>1</w:t>
            </w:r>
            <w:r>
              <w:rPr>
                <w:rFonts w:hint="eastAsia" w:ascii="宋体" w:hAnsi="宋体" w:cs="宋体"/>
                <w:color w:val="auto"/>
                <w:kern w:val="0"/>
              </w:rPr>
              <w:t>-0.</w:t>
            </w:r>
            <w:r>
              <w:rPr>
                <w:rFonts w:hint="eastAsia" w:ascii="宋体" w:hAnsi="宋体" w:cs="宋体"/>
                <w:color w:val="auto"/>
                <w:kern w:val="0"/>
                <w:lang w:val="en-US" w:eastAsia="zh-CN"/>
              </w:rPr>
              <w:t>6</w:t>
            </w:r>
          </w:p>
        </w:tc>
        <w:tc>
          <w:tcPr>
            <w:tcW w:w="975" w:type="dxa"/>
            <w:vMerge w:val="continue"/>
            <w:noWrap w:val="0"/>
            <w:vAlign w:val="center"/>
          </w:tcPr>
          <w:p w14:paraId="08148323">
            <w:pPr>
              <w:rPr>
                <w:rFonts w:ascii="宋体" w:hAnsi="宋体"/>
                <w:color w:val="auto"/>
              </w:rPr>
            </w:pPr>
          </w:p>
        </w:tc>
        <w:tc>
          <w:tcPr>
            <w:tcW w:w="4384" w:type="dxa"/>
            <w:vMerge w:val="continue"/>
            <w:noWrap w:val="0"/>
            <w:vAlign w:val="center"/>
          </w:tcPr>
          <w:p w14:paraId="61A0EFCE">
            <w:pPr>
              <w:ind w:left="210" w:hanging="210"/>
              <w:rPr>
                <w:rFonts w:ascii="宋体" w:hAnsi="宋体"/>
                <w:color w:val="auto"/>
              </w:rPr>
            </w:pPr>
          </w:p>
        </w:tc>
      </w:tr>
      <w:tr w14:paraId="524C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0" w:type="auto"/>
            <w:vMerge w:val="continue"/>
            <w:noWrap w:val="0"/>
            <w:vAlign w:val="center"/>
          </w:tcPr>
          <w:p w14:paraId="24BD1D39">
            <w:pPr>
              <w:widowControl/>
              <w:adjustRightInd w:val="0"/>
              <w:snapToGrid w:val="0"/>
              <w:spacing w:before="100" w:beforeAutospacing="1" w:after="100" w:afterAutospacing="1"/>
              <w:rPr>
                <w:rFonts w:ascii="宋体" w:hAnsi="宋体" w:cs="宋体"/>
                <w:b/>
                <w:color w:val="auto"/>
                <w:kern w:val="0"/>
                <w:sz w:val="24"/>
              </w:rPr>
            </w:pPr>
          </w:p>
        </w:tc>
        <w:tc>
          <w:tcPr>
            <w:tcW w:w="0" w:type="auto"/>
            <w:vMerge w:val="continue"/>
            <w:tcBorders>
              <w:bottom w:val="single" w:color="auto" w:sz="4" w:space="0"/>
              <w:right w:val="single" w:color="auto" w:sz="4" w:space="0"/>
            </w:tcBorders>
            <w:noWrap w:val="0"/>
            <w:vAlign w:val="center"/>
          </w:tcPr>
          <w:p w14:paraId="517AF8EF">
            <w:pPr>
              <w:widowControl/>
              <w:adjustRightInd w:val="0"/>
              <w:snapToGrid w:val="0"/>
              <w:spacing w:before="100" w:beforeAutospacing="1" w:after="100" w:afterAutospacing="1"/>
              <w:rPr>
                <w:rFonts w:ascii="宋体" w:hAnsi="宋体" w:cs="宋体"/>
                <w:b/>
                <w:color w:val="auto"/>
                <w:kern w:val="0"/>
                <w:sz w:val="24"/>
              </w:rPr>
            </w:pPr>
          </w:p>
        </w:tc>
        <w:tc>
          <w:tcPr>
            <w:tcW w:w="2464" w:type="dxa"/>
            <w:tcBorders>
              <w:left w:val="single" w:color="auto" w:sz="4" w:space="0"/>
              <w:bottom w:val="single" w:color="auto" w:sz="4" w:space="0"/>
              <w:right w:val="single" w:color="auto" w:sz="4" w:space="0"/>
            </w:tcBorders>
            <w:noWrap w:val="0"/>
            <w:vAlign w:val="center"/>
          </w:tcPr>
          <w:p w14:paraId="0F1612F0">
            <w:pPr>
              <w:rPr>
                <w:rFonts w:ascii="宋体" w:hAnsi="宋体" w:cs="宋体"/>
                <w:bCs w:val="0"/>
                <w:color w:val="auto"/>
                <w:kern w:val="0"/>
              </w:rPr>
            </w:pPr>
            <w:r>
              <w:rPr>
                <w:rFonts w:hint="eastAsia" w:ascii="宋体" w:hAnsi="宋体" w:cs="宋体"/>
                <w:color w:val="auto"/>
                <w:kern w:val="0"/>
              </w:rPr>
              <w:t>参与志愿服务</w:t>
            </w:r>
            <w:r>
              <w:rPr>
                <w:rFonts w:ascii="宋体" w:hAnsi="宋体" w:cs="宋体"/>
                <w:color w:val="auto"/>
                <w:kern w:val="0"/>
              </w:rPr>
              <w:br w:type="textWrapping"/>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21AA92D"/>
          <w:p w14:paraId="30C18746">
            <w:pPr>
              <w:widowControl/>
              <w:adjustRightInd w:val="0"/>
              <w:snapToGrid w:val="0"/>
              <w:spacing w:before="100" w:beforeAutospacing="1" w:after="100" w:afterAutospacing="1"/>
              <w:rPr>
                <w:rFonts w:hint="eastAsia" w:ascii="Arial" w:hAnsi="Arial"/>
                <w:bCs/>
                <w:color w:val="000000"/>
                <w:kern w:val="2"/>
                <w:sz w:val="21"/>
                <w:szCs w:val="21"/>
                <w:lang w:val="en-US" w:eastAsia="zh-CN" w:bidi="ar-SA"/>
              </w:rPr>
            </w:pPr>
            <w:r>
              <w:rPr>
                <w:rFonts w:hint="eastAsia" w:ascii="宋体" w:hAnsi="宋体" w:cs="宋体"/>
                <w:color w:val="auto"/>
                <w:kern w:val="0"/>
              </w:rPr>
              <w:t>中山大学星级志愿者：1-</w:t>
            </w:r>
            <w:r>
              <w:rPr>
                <w:rFonts w:ascii="宋体" w:hAnsi="宋体" w:cs="宋体"/>
                <w:color w:val="auto"/>
                <w:kern w:val="0"/>
              </w:rPr>
              <w:t>5</w:t>
            </w:r>
            <w:r>
              <w:rPr>
                <w:rFonts w:hint="eastAsia" w:ascii="宋体" w:hAnsi="宋体" w:cs="宋体"/>
                <w:color w:val="auto"/>
                <w:kern w:val="0"/>
              </w:rPr>
              <w:t>星分别加0</w:t>
            </w:r>
            <w:r>
              <w:rPr>
                <w:rFonts w:ascii="宋体" w:hAnsi="宋体" w:cs="宋体"/>
                <w:color w:val="auto"/>
                <w:kern w:val="0"/>
              </w:rPr>
              <w:t>.1</w:t>
            </w:r>
            <w:r>
              <w:rPr>
                <w:rFonts w:hint="eastAsia" w:ascii="宋体" w:hAnsi="宋体" w:cs="宋体"/>
                <w:color w:val="auto"/>
                <w:kern w:val="0"/>
              </w:rPr>
              <w:t>、0</w:t>
            </w:r>
            <w:r>
              <w:rPr>
                <w:rFonts w:ascii="宋体" w:hAnsi="宋体" w:cs="宋体"/>
                <w:color w:val="auto"/>
                <w:kern w:val="0"/>
              </w:rPr>
              <w:t>.2</w:t>
            </w:r>
            <w:r>
              <w:rPr>
                <w:rFonts w:hint="eastAsia" w:ascii="宋体" w:hAnsi="宋体" w:cs="宋体"/>
                <w:color w:val="auto"/>
                <w:kern w:val="0"/>
              </w:rPr>
              <w:t>、0</w:t>
            </w:r>
            <w:r>
              <w:rPr>
                <w:rFonts w:ascii="宋体" w:hAnsi="宋体" w:cs="宋体"/>
                <w:color w:val="auto"/>
                <w:kern w:val="0"/>
              </w:rPr>
              <w:t>.</w:t>
            </w:r>
            <w:r>
              <w:rPr>
                <w:rFonts w:hint="eastAsia" w:ascii="宋体" w:hAnsi="宋体" w:cs="宋体"/>
                <w:color w:val="auto"/>
                <w:kern w:val="0"/>
                <w:lang w:val="en-US" w:eastAsia="zh-CN"/>
              </w:rPr>
              <w:t>4</w:t>
            </w:r>
            <w:r>
              <w:rPr>
                <w:rFonts w:hint="eastAsia" w:ascii="宋体" w:hAnsi="宋体" w:cs="宋体"/>
                <w:color w:val="auto"/>
                <w:kern w:val="0"/>
              </w:rPr>
              <w:t>、0</w:t>
            </w:r>
            <w:r>
              <w:rPr>
                <w:rFonts w:ascii="宋体" w:hAnsi="宋体" w:cs="宋体"/>
                <w:color w:val="auto"/>
                <w:kern w:val="0"/>
              </w:rPr>
              <w:t>.</w:t>
            </w:r>
            <w:r>
              <w:rPr>
                <w:rFonts w:hint="eastAsia" w:ascii="宋体" w:hAnsi="宋体" w:cs="宋体"/>
                <w:color w:val="auto"/>
                <w:kern w:val="0"/>
                <w:lang w:val="en-US" w:eastAsia="zh-CN"/>
              </w:rPr>
              <w:t>6</w:t>
            </w:r>
            <w:r>
              <w:rPr>
                <w:rFonts w:hint="eastAsia" w:ascii="宋体" w:hAnsi="宋体" w:cs="宋体"/>
                <w:color w:val="auto"/>
                <w:kern w:val="0"/>
              </w:rPr>
              <w:t>、0</w:t>
            </w:r>
            <w:r>
              <w:rPr>
                <w:rFonts w:ascii="宋体" w:hAnsi="宋体" w:cs="宋体"/>
                <w:color w:val="auto"/>
                <w:kern w:val="0"/>
              </w:rPr>
              <w:t>.</w:t>
            </w:r>
            <w:r>
              <w:rPr>
                <w:rFonts w:hint="eastAsia" w:ascii="宋体" w:hAnsi="宋体" w:cs="宋体"/>
                <w:color w:val="auto"/>
                <w:kern w:val="0"/>
                <w:lang w:val="en-US" w:eastAsia="zh-CN"/>
              </w:rPr>
              <w:t>8</w:t>
            </w:r>
          </w:p>
        </w:tc>
        <w:tc>
          <w:tcPr>
            <w:tcW w:w="1056" w:type="dxa"/>
            <w:tcBorders>
              <w:top w:val="single" w:color="auto" w:sz="4" w:space="0"/>
              <w:left w:val="single" w:color="auto" w:sz="4" w:space="0"/>
              <w:bottom w:val="single" w:color="auto" w:sz="4" w:space="0"/>
            </w:tcBorders>
            <w:noWrap w:val="0"/>
            <w:vAlign w:val="center"/>
          </w:tcPr>
          <w:p w14:paraId="2CC4FD7C">
            <w:pPr>
              <w:widowControl/>
              <w:adjustRightInd w:val="0"/>
              <w:snapToGrid w:val="0"/>
              <w:spacing w:before="100" w:beforeAutospacing="1" w:after="100" w:afterAutospacing="1"/>
              <w:rPr>
                <w:rFonts w:ascii="宋体" w:hAnsi="宋体" w:cs="宋体"/>
                <w:color w:val="auto"/>
                <w:kern w:val="0"/>
              </w:rPr>
            </w:pPr>
            <w:r>
              <w:rPr>
                <w:rFonts w:ascii="宋体" w:hAnsi="宋体" w:cs="宋体"/>
                <w:color w:val="auto"/>
                <w:kern w:val="0"/>
              </w:rPr>
              <w:t>0.</w:t>
            </w:r>
            <w:r>
              <w:rPr>
                <w:rFonts w:hint="eastAsia" w:ascii="宋体" w:hAnsi="宋体" w:cs="宋体"/>
                <w:color w:val="auto"/>
                <w:kern w:val="0"/>
                <w:lang w:val="en-US" w:eastAsia="zh-CN"/>
              </w:rPr>
              <w:t>1</w:t>
            </w:r>
            <w:r>
              <w:rPr>
                <w:rFonts w:hint="eastAsia" w:ascii="宋体" w:hAnsi="宋体" w:cs="宋体"/>
                <w:color w:val="auto"/>
                <w:kern w:val="0"/>
              </w:rPr>
              <w:t>-</w:t>
            </w:r>
            <w:r>
              <w:rPr>
                <w:rFonts w:hint="eastAsia" w:ascii="宋体" w:hAnsi="宋体" w:cs="宋体"/>
                <w:color w:val="auto"/>
                <w:kern w:val="0"/>
                <w:lang w:val="en-US" w:eastAsia="zh-CN"/>
              </w:rPr>
              <w:t>0.8</w:t>
            </w:r>
          </w:p>
        </w:tc>
        <w:tc>
          <w:tcPr>
            <w:tcW w:w="975" w:type="dxa"/>
            <w:vMerge w:val="continue"/>
            <w:noWrap w:val="0"/>
            <w:vAlign w:val="center"/>
          </w:tcPr>
          <w:p w14:paraId="3FCEC10F">
            <w:pPr>
              <w:rPr>
                <w:rFonts w:ascii="宋体" w:hAnsi="宋体" w:cs="宋体"/>
                <w:b/>
                <w:color w:val="auto"/>
                <w:kern w:val="0"/>
                <w:sz w:val="24"/>
              </w:rPr>
            </w:pPr>
          </w:p>
        </w:tc>
        <w:tc>
          <w:tcPr>
            <w:tcW w:w="4384" w:type="dxa"/>
            <w:vMerge w:val="continue"/>
            <w:noWrap w:val="0"/>
            <w:vAlign w:val="center"/>
          </w:tcPr>
          <w:p w14:paraId="45F29FB0">
            <w:pPr>
              <w:widowControl/>
              <w:adjustRightInd w:val="0"/>
              <w:snapToGrid w:val="0"/>
              <w:spacing w:before="100" w:beforeAutospacing="1" w:after="100" w:afterAutospacing="1"/>
              <w:rPr>
                <w:rFonts w:hint="eastAsia" w:ascii="宋体" w:hAnsi="宋体" w:cs="宋体"/>
                <w:b/>
                <w:color w:val="auto"/>
                <w:kern w:val="0"/>
                <w:sz w:val="24"/>
              </w:rPr>
            </w:pPr>
          </w:p>
        </w:tc>
      </w:tr>
      <w:tr w14:paraId="55F9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0" w:type="auto"/>
            <w:vMerge w:val="continue"/>
            <w:tcBorders>
              <w:bottom w:val="single" w:color="auto" w:sz="4" w:space="0"/>
            </w:tcBorders>
            <w:noWrap w:val="0"/>
            <w:vAlign w:val="center"/>
          </w:tcPr>
          <w:p w14:paraId="10782F4A">
            <w:pPr>
              <w:widowControl/>
              <w:adjustRightInd w:val="0"/>
              <w:snapToGrid w:val="0"/>
              <w:spacing w:before="100" w:beforeAutospacing="1" w:after="100" w:afterAutospacing="1"/>
              <w:rPr>
                <w:rFonts w:ascii="宋体" w:hAnsi="宋体" w:cs="宋体"/>
                <w:b/>
                <w:color w:val="auto"/>
                <w:kern w:val="0"/>
                <w:sz w:val="24"/>
              </w:rPr>
            </w:pPr>
          </w:p>
        </w:tc>
        <w:tc>
          <w:tcPr>
            <w:tcW w:w="0" w:type="auto"/>
            <w:tcBorders>
              <w:bottom w:val="single" w:color="auto" w:sz="4" w:space="0"/>
              <w:right w:val="single" w:color="auto" w:sz="4" w:space="0"/>
            </w:tcBorders>
            <w:noWrap w:val="0"/>
            <w:vAlign w:val="center"/>
          </w:tcPr>
          <w:p w14:paraId="43B57864">
            <w:pPr>
              <w:widowControl/>
              <w:adjustRightInd w:val="0"/>
              <w:snapToGrid w:val="0"/>
              <w:spacing w:before="100" w:beforeAutospacing="1" w:after="100" w:afterAutospacing="1"/>
              <w:rPr>
                <w:rFonts w:ascii="宋体" w:hAnsi="宋体" w:cs="宋体"/>
                <w:b/>
                <w:color w:val="auto"/>
                <w:kern w:val="0"/>
                <w:sz w:val="24"/>
              </w:rPr>
            </w:pPr>
          </w:p>
          <w:p w14:paraId="17A09016">
            <w:pPr>
              <w:widowControl/>
              <w:adjustRightInd w:val="0"/>
              <w:snapToGrid w:val="0"/>
              <w:spacing w:before="100" w:beforeAutospacing="1" w:after="100" w:afterAutospacing="1"/>
              <w:rPr>
                <w:rFonts w:ascii="宋体" w:hAnsi="宋体" w:cs="宋体"/>
                <w:b/>
                <w:color w:val="auto"/>
                <w:kern w:val="0"/>
                <w:sz w:val="24"/>
              </w:rPr>
            </w:pPr>
            <w:r>
              <w:rPr>
                <w:rFonts w:hint="eastAsia" w:ascii="宋体" w:hAnsi="宋体"/>
                <w:b/>
                <w:color w:val="auto"/>
                <w:sz w:val="24"/>
              </w:rPr>
              <w:t>社会责任</w:t>
            </w:r>
          </w:p>
        </w:tc>
        <w:tc>
          <w:tcPr>
            <w:tcW w:w="2464" w:type="dxa"/>
            <w:tcBorders>
              <w:left w:val="single" w:color="auto" w:sz="4" w:space="0"/>
              <w:bottom w:val="single" w:color="auto" w:sz="4" w:space="0"/>
              <w:right w:val="single" w:color="auto" w:sz="4" w:space="0"/>
            </w:tcBorders>
            <w:noWrap w:val="0"/>
            <w:vAlign w:val="center"/>
          </w:tcPr>
          <w:p w14:paraId="05122843">
            <w:pPr>
              <w:rPr>
                <w:rFonts w:ascii="宋体" w:hAnsi="宋体" w:cs="宋体"/>
                <w:bCs w:val="0"/>
                <w:color w:val="auto"/>
                <w:kern w:val="0"/>
              </w:rPr>
            </w:pPr>
            <w:r>
              <w:rPr>
                <w:rFonts w:hint="eastAsia" w:ascii="宋体" w:hAnsi="宋体" w:cs="宋体"/>
                <w:color w:val="auto"/>
                <w:kern w:val="0"/>
              </w:rPr>
              <w:t>1） 参与各类社会调研或社会实践，围绕社会热点问题进行调研并建言献策；</w:t>
            </w:r>
          </w:p>
          <w:p w14:paraId="7D19824B">
            <w:pPr>
              <w:rPr>
                <w:rFonts w:hint="eastAsia" w:ascii="宋体" w:hAnsi="宋体" w:cs="宋体"/>
                <w:color w:val="auto"/>
                <w:kern w:val="0"/>
              </w:rPr>
            </w:pPr>
            <w:r>
              <w:rPr>
                <w:rFonts w:hint="eastAsia" w:ascii="宋体" w:hAnsi="宋体" w:cs="宋体"/>
                <w:color w:val="auto"/>
                <w:kern w:val="0"/>
              </w:rPr>
              <w:t>2） 参与社区等公共服务。</w:t>
            </w:r>
          </w:p>
          <w:p w14:paraId="0EF10FBB">
            <w:pPr>
              <w:rPr>
                <w:rFonts w:hint="default" w:ascii="宋体" w:hAnsi="宋体" w:eastAsia="宋体" w:cs="宋体"/>
                <w:color w:val="auto"/>
                <w:kern w:val="0"/>
                <w:lang w:val="en-US" w:eastAsia="zh-CN"/>
              </w:rPr>
            </w:pPr>
            <w:r>
              <w:rPr>
                <w:rFonts w:hint="eastAsia" w:ascii="宋体" w:hAnsi="宋体" w:cs="宋体"/>
                <w:color w:val="auto"/>
                <w:kern w:val="0"/>
                <w:lang w:val="en-US" w:eastAsia="zh-CN"/>
              </w:rPr>
              <w:t>3）参与寒招或三下乡等实践活动。</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8692C89">
            <w:pPr>
              <w:widowControl/>
              <w:adjustRightInd w:val="0"/>
              <w:snapToGrid w:val="0"/>
              <w:spacing w:before="100" w:beforeAutospacing="1" w:after="100" w:afterAutospacing="1"/>
              <w:rPr>
                <w:rFonts w:hint="eastAsia" w:ascii="宋体" w:hAnsi="宋体" w:cs="宋体"/>
                <w:color w:val="auto"/>
                <w:kern w:val="0"/>
                <w:lang w:val="en-US" w:eastAsia="zh-CN"/>
              </w:rPr>
            </w:pPr>
            <w:r>
              <w:rPr>
                <w:rFonts w:hint="eastAsia" w:ascii="宋体" w:hAnsi="宋体" w:cs="宋体"/>
                <w:color w:val="auto"/>
                <w:kern w:val="0"/>
              </w:rPr>
              <w:t>参加社会实践或社会调查，并获得先进个人</w:t>
            </w:r>
            <w:r>
              <w:rPr>
                <w:rFonts w:hint="eastAsia" w:ascii="宋体" w:hAnsi="宋体" w:cs="宋体"/>
                <w:color w:val="auto"/>
                <w:kern w:val="0"/>
                <w:lang w:val="en-US" w:eastAsia="zh-CN"/>
              </w:rPr>
              <w:t>或先进团队</w:t>
            </w:r>
            <w:r>
              <w:rPr>
                <w:rFonts w:hint="eastAsia" w:ascii="宋体" w:hAnsi="宋体" w:cs="宋体"/>
                <w:color w:val="auto"/>
                <w:kern w:val="0"/>
              </w:rPr>
              <w:t>，或实践和调查成果被政府部门采纳，</w:t>
            </w:r>
            <w:r>
              <w:rPr>
                <w:rFonts w:hint="eastAsia" w:ascii="宋体" w:hAnsi="宋体" w:cs="宋体"/>
                <w:color w:val="auto"/>
                <w:kern w:val="0"/>
                <w:lang w:val="en-US" w:eastAsia="zh-CN"/>
              </w:rPr>
              <w:t>可加分：</w:t>
            </w:r>
          </w:p>
          <w:p w14:paraId="4C440DFA">
            <w:pPr>
              <w:widowControl/>
              <w:adjustRightInd w:val="0"/>
              <w:snapToGrid w:val="0"/>
              <w:spacing w:before="100" w:beforeAutospacing="1" w:after="100" w:afterAutospacing="1"/>
              <w:rPr>
                <w:rFonts w:ascii="宋体" w:hAnsi="宋体" w:cs="宋体"/>
                <w:color w:val="auto"/>
                <w:kern w:val="0"/>
              </w:rPr>
            </w:pPr>
            <w:r>
              <w:rPr>
                <w:rFonts w:hint="eastAsia" w:ascii="宋体" w:hAnsi="宋体" w:cs="宋体"/>
                <w:color w:val="auto"/>
                <w:kern w:val="0"/>
              </w:rPr>
              <w:t>国家级</w:t>
            </w:r>
            <w:r>
              <w:rPr>
                <w:rFonts w:ascii="宋体" w:hAnsi="宋体" w:cs="宋体"/>
                <w:color w:val="auto"/>
                <w:kern w:val="0"/>
              </w:rPr>
              <w:t>2.2，</w:t>
            </w:r>
            <w:r>
              <w:rPr>
                <w:rFonts w:hint="eastAsia" w:ascii="宋体" w:hAnsi="宋体" w:cs="宋体"/>
                <w:color w:val="auto"/>
                <w:kern w:val="0"/>
              </w:rPr>
              <w:t>省市级0.9，校级0.4，院级0.2</w:t>
            </w:r>
          </w:p>
        </w:tc>
        <w:tc>
          <w:tcPr>
            <w:tcW w:w="1056" w:type="dxa"/>
            <w:tcBorders>
              <w:top w:val="single" w:color="auto" w:sz="4" w:space="0"/>
              <w:left w:val="single" w:color="auto" w:sz="4" w:space="0"/>
              <w:bottom w:val="single" w:color="auto" w:sz="4" w:space="0"/>
            </w:tcBorders>
            <w:noWrap w:val="0"/>
            <w:vAlign w:val="center"/>
          </w:tcPr>
          <w:p w14:paraId="2836CE72">
            <w:pPr>
              <w:widowControl/>
              <w:adjustRightInd w:val="0"/>
              <w:snapToGrid w:val="0"/>
              <w:spacing w:before="100" w:beforeAutospacing="1" w:after="100" w:afterAutospacing="1"/>
              <w:rPr>
                <w:rFonts w:hint="eastAsia" w:ascii="宋体" w:hAnsi="宋体" w:cs="宋体"/>
                <w:color w:val="auto"/>
                <w:kern w:val="0"/>
              </w:rPr>
            </w:pPr>
            <w:r>
              <w:rPr>
                <w:rFonts w:hint="eastAsia" w:ascii="宋体" w:hAnsi="宋体" w:cs="宋体"/>
                <w:color w:val="auto"/>
                <w:kern w:val="0"/>
              </w:rPr>
              <w:t>0.2-2.2</w:t>
            </w:r>
          </w:p>
        </w:tc>
        <w:tc>
          <w:tcPr>
            <w:tcW w:w="975" w:type="dxa"/>
            <w:vMerge w:val="continue"/>
            <w:tcBorders>
              <w:bottom w:val="single" w:color="auto" w:sz="4" w:space="0"/>
            </w:tcBorders>
            <w:noWrap w:val="0"/>
            <w:vAlign w:val="center"/>
          </w:tcPr>
          <w:p w14:paraId="09EC10FB">
            <w:pPr>
              <w:rPr>
                <w:rFonts w:ascii="宋体" w:hAnsi="宋体" w:cs="宋体"/>
                <w:b/>
                <w:color w:val="auto"/>
                <w:kern w:val="0"/>
                <w:sz w:val="24"/>
              </w:rPr>
            </w:pPr>
          </w:p>
        </w:tc>
        <w:tc>
          <w:tcPr>
            <w:tcW w:w="4384" w:type="dxa"/>
            <w:tcBorders>
              <w:bottom w:val="single" w:color="auto" w:sz="4" w:space="0"/>
            </w:tcBorders>
            <w:noWrap w:val="0"/>
            <w:vAlign w:val="center"/>
          </w:tcPr>
          <w:p w14:paraId="6BA715B9">
            <w:pPr>
              <w:widowControl/>
              <w:tabs>
                <w:tab w:val="left" w:pos="797"/>
              </w:tabs>
              <w:adjustRightInd w:val="0"/>
              <w:snapToGrid w:val="0"/>
              <w:rPr>
                <w:rFonts w:hint="default" w:ascii="宋体" w:hAnsi="宋体" w:eastAsia="宋体" w:cs="宋体"/>
                <w:bCs w:val="0"/>
                <w:color w:val="auto"/>
                <w:kern w:val="0"/>
                <w:lang w:val="en-US" w:eastAsia="zh-CN"/>
              </w:rPr>
            </w:pPr>
            <w:r>
              <w:rPr>
                <w:rFonts w:ascii="宋体" w:hAnsi="宋体" w:cs="宋体"/>
                <w:color w:val="auto"/>
                <w:kern w:val="0"/>
              </w:rPr>
              <w:t>1</w:t>
            </w:r>
            <w:r>
              <w:rPr>
                <w:rFonts w:hint="eastAsia" w:ascii="宋体" w:hAnsi="宋体" w:cs="宋体"/>
                <w:color w:val="auto"/>
                <w:kern w:val="0"/>
              </w:rPr>
              <w:t>、所有获奖</w:t>
            </w:r>
            <w:r>
              <w:rPr>
                <w:rFonts w:hint="eastAsia" w:ascii="宋体" w:hAnsi="宋体" w:cs="宋体"/>
                <w:color w:val="auto"/>
                <w:kern w:val="0"/>
                <w:lang w:val="en-US" w:eastAsia="zh-CN"/>
              </w:rPr>
              <w:t>必须</w:t>
            </w:r>
            <w:r>
              <w:rPr>
                <w:rFonts w:hint="eastAsia" w:ascii="宋体" w:hAnsi="宋体"/>
                <w:color w:val="auto"/>
              </w:rPr>
              <w:t>由</w:t>
            </w:r>
            <w:r>
              <w:rPr>
                <w:rFonts w:hint="eastAsia" w:ascii="宋体" w:hAnsi="宋体"/>
                <w:color w:val="auto"/>
                <w:lang w:val="en-US" w:eastAsia="zh-CN"/>
              </w:rPr>
              <w:t>各级党委、</w:t>
            </w:r>
            <w:r>
              <w:rPr>
                <w:rFonts w:hint="eastAsia" w:ascii="宋体" w:hAnsi="宋体"/>
                <w:color w:val="auto"/>
              </w:rPr>
              <w:t>政府、</w:t>
            </w:r>
            <w:r>
              <w:rPr>
                <w:rFonts w:hint="eastAsia" w:ascii="宋体" w:hAnsi="宋体"/>
                <w:color w:val="auto"/>
                <w:lang w:val="en-US" w:eastAsia="zh-CN"/>
              </w:rPr>
              <w:t>团委或中山大学</w:t>
            </w:r>
            <w:r>
              <w:rPr>
                <w:rFonts w:hint="eastAsia" w:ascii="宋体" w:hAnsi="宋体"/>
                <w:color w:val="auto"/>
              </w:rPr>
              <w:t>颁发</w:t>
            </w:r>
            <w:r>
              <w:rPr>
                <w:rFonts w:hint="eastAsia" w:ascii="宋体" w:hAnsi="宋体"/>
                <w:color w:val="auto"/>
                <w:lang w:eastAsia="zh-CN"/>
              </w:rPr>
              <w:t>，</w:t>
            </w:r>
            <w:r>
              <w:rPr>
                <w:rFonts w:hint="eastAsia" w:ascii="宋体" w:hAnsi="宋体" w:cs="宋体"/>
                <w:color w:val="auto"/>
                <w:kern w:val="0"/>
                <w:lang w:val="en-US" w:eastAsia="zh-CN"/>
              </w:rPr>
              <w:t>且需由</w:t>
            </w:r>
            <w:r>
              <w:rPr>
                <w:rFonts w:hint="eastAsia" w:ascii="宋体" w:hAnsi="宋体" w:cs="宋体"/>
                <w:color w:val="auto"/>
                <w:kern w:val="0"/>
              </w:rPr>
              <w:t>主办单位提供书面有效证明。</w:t>
            </w:r>
            <w:r>
              <w:rPr>
                <w:rFonts w:hint="eastAsia" w:ascii="宋体" w:hAnsi="宋体" w:cs="宋体"/>
                <w:color w:val="auto"/>
                <w:kern w:val="0"/>
                <w:lang w:val="en-US" w:eastAsia="zh-CN"/>
              </w:rPr>
              <w:t>团队获奖不区分队长和队员，获奖证书上无队员姓名的，需提供有效的参赛证明。</w:t>
            </w:r>
          </w:p>
          <w:p w14:paraId="26653397">
            <w:pPr>
              <w:widowControl/>
              <w:adjustRightInd w:val="0"/>
              <w:snapToGrid w:val="0"/>
              <w:rPr>
                <w:rFonts w:ascii="宋体" w:hAnsi="宋体" w:cs="宋体"/>
                <w:color w:val="auto"/>
                <w:kern w:val="0"/>
              </w:rPr>
            </w:pPr>
            <w:r>
              <w:rPr>
                <w:rFonts w:hint="eastAsia" w:ascii="宋体" w:hAnsi="宋体" w:cs="宋体"/>
                <w:color w:val="auto"/>
                <w:kern w:val="0"/>
              </w:rPr>
              <w:t>2、同一调研或实践活动多次获奖只记最高分，不累加，不同项目可累加，最多可累加三项，累加公式：第一项目加分分值×100％＋第二项目加分分值×50％＋第三项目加分分值×30％。</w:t>
            </w:r>
          </w:p>
          <w:p w14:paraId="4B971B83">
            <w:pPr>
              <w:widowControl/>
              <w:adjustRightInd w:val="0"/>
              <w:snapToGrid w:val="0"/>
              <w:rPr>
                <w:rFonts w:hint="eastAsia" w:ascii="宋体" w:hAnsi="宋体" w:cs="宋体"/>
                <w:b/>
                <w:bCs w:val="0"/>
                <w:color w:val="auto"/>
                <w:kern w:val="0"/>
              </w:rPr>
            </w:pPr>
            <w:r>
              <w:rPr>
                <w:rFonts w:hint="eastAsia" w:ascii="宋体" w:hAnsi="宋体" w:cs="宋体"/>
                <w:b/>
                <w:bCs w:val="0"/>
                <w:color w:val="auto"/>
                <w:kern w:val="0"/>
              </w:rPr>
              <w:t>3、“社会责任”加分上限为2.2分，累计2.2分以上按2.2分计算。</w:t>
            </w:r>
          </w:p>
        </w:tc>
      </w:tr>
    </w:tbl>
    <w:p w14:paraId="140CCE90">
      <w:pPr>
        <w:widowControl/>
        <w:adjustRightInd w:val="0"/>
        <w:snapToGrid w:val="0"/>
        <w:ind w:firstLine="480"/>
        <w:jc w:val="center"/>
        <w:rPr>
          <w:rFonts w:ascii="宋体" w:hAnsi="宋体"/>
          <w:b/>
          <w:color w:val="auto"/>
        </w:rPr>
        <w:sectPr>
          <w:pgSz w:w="16838" w:h="11906" w:orient="landscape"/>
          <w:pgMar w:top="1134" w:right="1077" w:bottom="1843" w:left="1077" w:header="851" w:footer="992" w:gutter="0"/>
          <w:cols w:space="720" w:num="1"/>
          <w:docGrid w:type="lines" w:linePitch="312" w:charSpace="0"/>
        </w:sectPr>
      </w:pPr>
    </w:p>
    <w:p w14:paraId="333871C6">
      <w:pPr>
        <w:jc w:val="center"/>
        <w:rPr>
          <w:rFonts w:ascii="黑体" w:hAnsi="黑体" w:eastAsia="黑体"/>
          <w:bCs w:val="0"/>
          <w:color w:val="auto"/>
          <w:sz w:val="32"/>
        </w:rPr>
      </w:pPr>
      <w:r>
        <w:rPr>
          <w:rFonts w:hint="eastAsia" w:ascii="黑体" w:hAnsi="黑体" w:eastAsia="黑体"/>
          <w:bCs w:val="0"/>
          <w:color w:val="auto"/>
          <w:sz w:val="32"/>
        </w:rPr>
        <w:t>第二部分：  扣分细则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7140"/>
      </w:tblGrid>
      <w:tr w14:paraId="2E78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noWrap w:val="0"/>
            <w:vAlign w:val="top"/>
          </w:tcPr>
          <w:p w14:paraId="761F2000">
            <w:pPr>
              <w:tabs>
                <w:tab w:val="left" w:pos="6300"/>
                <w:tab w:val="left" w:pos="7920"/>
              </w:tabs>
              <w:jc w:val="center"/>
              <w:rPr>
                <w:rFonts w:ascii="宋体" w:hAnsi="宋体"/>
                <w:color w:val="auto"/>
              </w:rPr>
            </w:pPr>
            <w:r>
              <w:rPr>
                <w:rFonts w:hint="eastAsia" w:ascii="宋体" w:hAnsi="宋体"/>
                <w:color w:val="auto"/>
              </w:rPr>
              <w:t>扣  分</w:t>
            </w:r>
          </w:p>
        </w:tc>
        <w:tc>
          <w:tcPr>
            <w:tcW w:w="7140" w:type="dxa"/>
            <w:noWrap w:val="0"/>
            <w:vAlign w:val="top"/>
          </w:tcPr>
          <w:p w14:paraId="0473B140">
            <w:pPr>
              <w:tabs>
                <w:tab w:val="left" w:pos="6300"/>
                <w:tab w:val="left" w:pos="7920"/>
              </w:tabs>
              <w:ind w:firstLine="2730"/>
              <w:rPr>
                <w:rFonts w:ascii="宋体" w:hAnsi="宋体"/>
                <w:color w:val="auto"/>
              </w:rPr>
            </w:pPr>
            <w:r>
              <w:rPr>
                <w:rFonts w:hint="eastAsia" w:ascii="宋体" w:hAnsi="宋体"/>
                <w:color w:val="auto"/>
              </w:rPr>
              <w:t>原    因</w:t>
            </w:r>
          </w:p>
        </w:tc>
      </w:tr>
      <w:tr w14:paraId="0DF1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noWrap w:val="0"/>
            <w:vAlign w:val="top"/>
          </w:tcPr>
          <w:p w14:paraId="2D15CAAD">
            <w:pPr>
              <w:tabs>
                <w:tab w:val="left" w:pos="6300"/>
                <w:tab w:val="left" w:pos="7920"/>
              </w:tabs>
              <w:jc w:val="center"/>
              <w:rPr>
                <w:rFonts w:ascii="宋体" w:hAnsi="宋体"/>
                <w:color w:val="auto"/>
              </w:rPr>
            </w:pPr>
            <w:r>
              <w:rPr>
                <w:rFonts w:ascii="宋体" w:hAnsi="宋体"/>
                <w:color w:val="auto"/>
              </w:rPr>
              <w:t>0.1</w:t>
            </w:r>
          </w:p>
        </w:tc>
        <w:tc>
          <w:tcPr>
            <w:tcW w:w="7140" w:type="dxa"/>
            <w:noWrap w:val="0"/>
            <w:vAlign w:val="top"/>
          </w:tcPr>
          <w:p w14:paraId="0E4F7EC6">
            <w:pPr>
              <w:tabs>
                <w:tab w:val="left" w:pos="6300"/>
                <w:tab w:val="left" w:pos="7920"/>
              </w:tabs>
              <w:rPr>
                <w:rFonts w:ascii="宋体" w:hAnsi="宋体"/>
                <w:color w:val="auto"/>
              </w:rPr>
            </w:pPr>
            <w:r>
              <w:rPr>
                <w:rFonts w:hint="eastAsia" w:ascii="宋体" w:hAnsi="宋体"/>
                <w:color w:val="auto"/>
              </w:rPr>
              <w:t>经学院通知，要求必须参加的会议、讲座、集体活动，无故缺席者。</w:t>
            </w:r>
          </w:p>
        </w:tc>
      </w:tr>
    </w:tbl>
    <w:p w14:paraId="60660AD7">
      <w:pPr>
        <w:widowControl/>
        <w:adjustRightInd w:val="0"/>
        <w:snapToGrid w:val="0"/>
        <w:ind w:firstLine="480"/>
        <w:jc w:val="left"/>
        <w:rPr>
          <w:rFonts w:hint="eastAsia" w:ascii="宋体" w:hAnsi="宋体" w:cs="宋体"/>
          <w:bCs w:val="0"/>
          <w:color w:val="auto"/>
          <w:kern w:val="0"/>
        </w:rPr>
      </w:pPr>
      <w:r>
        <w:rPr>
          <w:rFonts w:hint="eastAsia" w:ascii="宋体" w:hAnsi="宋体" w:cs="宋体"/>
          <w:bCs w:val="0"/>
          <w:color w:val="auto"/>
          <w:kern w:val="0"/>
        </w:rPr>
        <w:t xml:space="preserve">                           </w:t>
      </w:r>
    </w:p>
    <w:p w14:paraId="2724B572">
      <w:pPr>
        <w:jc w:val="center"/>
        <w:rPr>
          <w:rFonts w:ascii="黑体" w:hAnsi="黑体" w:eastAsia="黑体"/>
          <w:bCs w:val="0"/>
          <w:color w:val="auto"/>
          <w:sz w:val="32"/>
        </w:rPr>
      </w:pPr>
      <w:r>
        <w:rPr>
          <w:rFonts w:hint="eastAsia" w:ascii="黑体" w:hAnsi="黑体" w:eastAsia="黑体"/>
          <w:bCs w:val="0"/>
          <w:color w:val="auto"/>
          <w:sz w:val="32"/>
        </w:rPr>
        <w:t>第四章    附则</w:t>
      </w:r>
    </w:p>
    <w:p w14:paraId="646C529F">
      <w:pPr>
        <w:tabs>
          <w:tab w:val="left" w:pos="360"/>
          <w:tab w:val="left" w:pos="7920"/>
        </w:tabs>
        <w:spacing w:before="156" w:beforeLines="50"/>
        <w:ind w:firstLine="640" w:firstLineChars="200"/>
        <w:rPr>
          <w:rFonts w:ascii="Times New Roman" w:hAnsi="Times New Roman" w:eastAsia="仿宋_GB2312"/>
          <w:bCs w:val="0"/>
          <w:color w:val="auto"/>
          <w:sz w:val="32"/>
        </w:rPr>
      </w:pPr>
      <w:r>
        <w:rPr>
          <w:rFonts w:hint="eastAsia" w:ascii="Times New Roman" w:hAnsi="Times New Roman" w:eastAsia="仿宋_GB2312"/>
          <w:bCs w:val="0"/>
          <w:color w:val="auto"/>
          <w:sz w:val="32"/>
        </w:rPr>
        <w:t>一、本细则由学院学生工作办公室具体负责起草、编制，并将根据学院发展变化的需要，不定期组织修订；细则的制订需经充分调研论证，制订后应经过公示，经学院党政联席会审议通过后提交党委学生工作部审查。由学院学生工作办公室具体组织实施。未尽事宜，由学院学生工作办公室负责解释，并报学院党政联席会决定。</w:t>
      </w:r>
    </w:p>
    <w:p w14:paraId="7165774F">
      <w:pPr>
        <w:adjustRightInd w:val="0"/>
        <w:snapToGrid w:val="0"/>
        <w:spacing w:line="540" w:lineRule="atLeast"/>
        <w:ind w:firstLine="640" w:firstLineChars="200"/>
        <w:jc w:val="left"/>
        <w:rPr>
          <w:rFonts w:ascii="仿宋_GB2312" w:hAnsi="仿宋" w:eastAsia="仿宋_GB2312"/>
          <w:bCs w:val="0"/>
          <w:color w:val="auto"/>
          <w:sz w:val="32"/>
        </w:rPr>
      </w:pPr>
      <w:r>
        <w:rPr>
          <w:rFonts w:hint="eastAsia" w:ascii="Times New Roman" w:hAnsi="Times New Roman" w:eastAsia="仿宋_GB2312"/>
          <w:bCs w:val="0"/>
          <w:color w:val="auto"/>
          <w:sz w:val="32"/>
        </w:rPr>
        <w:t>二、本细则自发布之日起施行，原《计算机学院本科生综合素质测评实施细则》（</w:t>
      </w:r>
      <w:r>
        <w:rPr>
          <w:rFonts w:hint="eastAsia" w:ascii="仿宋_GB2312" w:hAnsi="仿宋" w:eastAsia="仿宋_GB2312"/>
          <w:bCs w:val="0"/>
          <w:color w:val="auto"/>
          <w:sz w:val="32"/>
        </w:rPr>
        <w:t>计算机〔</w:t>
      </w:r>
      <w:r>
        <w:rPr>
          <w:rFonts w:ascii="仿宋_GB2312" w:hAnsi="仿宋" w:eastAsia="仿宋_GB2312"/>
          <w:bCs w:val="0"/>
          <w:color w:val="auto"/>
          <w:sz w:val="32"/>
        </w:rPr>
        <w:t>202</w:t>
      </w:r>
      <w:r>
        <w:rPr>
          <w:rFonts w:hint="eastAsia" w:ascii="仿宋_GB2312" w:hAnsi="仿宋" w:eastAsia="仿宋_GB2312"/>
          <w:bCs w:val="0"/>
          <w:color w:val="auto"/>
          <w:sz w:val="32"/>
          <w:lang w:val="en-US" w:eastAsia="zh-CN"/>
        </w:rPr>
        <w:t>3</w:t>
      </w:r>
      <w:r>
        <w:rPr>
          <w:rFonts w:hint="eastAsia" w:ascii="仿宋_GB2312" w:hAnsi="仿宋" w:eastAsia="仿宋_GB2312"/>
          <w:bCs w:val="0"/>
          <w:color w:val="auto"/>
          <w:sz w:val="32"/>
        </w:rPr>
        <w:t>〕</w:t>
      </w:r>
      <w:r>
        <w:rPr>
          <w:rFonts w:hint="eastAsia" w:ascii="仿宋_GB2312" w:hAnsi="仿宋" w:eastAsia="仿宋_GB2312"/>
          <w:bCs w:val="0"/>
          <w:color w:val="auto"/>
          <w:sz w:val="32"/>
          <w:lang w:val="en-US" w:eastAsia="zh-CN"/>
        </w:rPr>
        <w:t>45</w:t>
      </w:r>
      <w:r>
        <w:rPr>
          <w:rFonts w:hint="eastAsia" w:ascii="仿宋_GB2312" w:hAnsi="仿宋" w:eastAsia="仿宋_GB2312"/>
          <w:bCs w:val="0"/>
          <w:color w:val="auto"/>
          <w:sz w:val="32"/>
        </w:rPr>
        <w:t>号</w:t>
      </w:r>
      <w:r>
        <w:rPr>
          <w:rFonts w:hint="eastAsia" w:ascii="Times New Roman" w:hAnsi="Times New Roman" w:eastAsia="仿宋_GB2312"/>
          <w:bCs w:val="0"/>
          <w:color w:val="auto"/>
          <w:sz w:val="32"/>
        </w:rPr>
        <w:t>）同时废止。</w:t>
      </w:r>
    </w:p>
    <w:p w14:paraId="507041FA">
      <w:pPr>
        <w:tabs>
          <w:tab w:val="left" w:pos="360"/>
          <w:tab w:val="left" w:pos="7920"/>
        </w:tabs>
        <w:spacing w:before="156" w:beforeLines="50"/>
        <w:ind w:firstLine="640" w:firstLineChars="200"/>
        <w:rPr>
          <w:rFonts w:ascii="Times New Roman" w:hAnsi="Times New Roman" w:eastAsia="仿宋_GB2312"/>
          <w:bCs w:val="0"/>
          <w:color w:val="auto"/>
          <w:sz w:val="32"/>
        </w:rPr>
      </w:pPr>
    </w:p>
    <w:p w14:paraId="2D98725C">
      <w:pPr>
        <w:tabs>
          <w:tab w:val="left" w:pos="360"/>
          <w:tab w:val="left" w:pos="7920"/>
        </w:tabs>
        <w:spacing w:before="156" w:beforeLines="50"/>
        <w:ind w:firstLine="640" w:firstLineChars="200"/>
        <w:rPr>
          <w:rFonts w:ascii="Times New Roman" w:hAnsi="Times New Roman" w:eastAsia="仿宋_GB2312"/>
          <w:bCs w:val="0"/>
          <w:color w:val="auto"/>
          <w:sz w:val="32"/>
        </w:rPr>
      </w:pPr>
    </w:p>
    <w:p w14:paraId="2BE60E3E">
      <w:pPr>
        <w:tabs>
          <w:tab w:val="left" w:pos="360"/>
          <w:tab w:val="left" w:pos="7920"/>
        </w:tabs>
        <w:spacing w:before="156" w:beforeLines="50"/>
        <w:ind w:firstLine="640" w:firstLineChars="200"/>
        <w:rPr>
          <w:rFonts w:ascii="Times New Roman" w:hAnsi="Times New Roman" w:eastAsia="仿宋_GB2312"/>
          <w:bCs w:val="0"/>
          <w:color w:val="auto"/>
          <w:sz w:val="32"/>
        </w:rPr>
      </w:pPr>
    </w:p>
    <w:p w14:paraId="32E39715">
      <w:pPr>
        <w:tabs>
          <w:tab w:val="left" w:pos="360"/>
          <w:tab w:val="left" w:pos="7920"/>
        </w:tabs>
        <w:spacing w:before="156" w:beforeLines="50"/>
        <w:ind w:firstLine="640" w:firstLineChars="200"/>
        <w:rPr>
          <w:rFonts w:ascii="Times New Roman" w:hAnsi="Times New Roman" w:eastAsia="仿宋_GB2312"/>
          <w:bCs w:val="0"/>
          <w:color w:val="auto"/>
          <w:sz w:val="32"/>
        </w:rPr>
      </w:pPr>
    </w:p>
    <w:p w14:paraId="2FF9256E">
      <w:pPr>
        <w:tabs>
          <w:tab w:val="left" w:pos="360"/>
          <w:tab w:val="left" w:pos="7920"/>
        </w:tabs>
        <w:spacing w:before="156" w:beforeLines="50"/>
        <w:rPr>
          <w:rFonts w:hint="eastAsia" w:ascii="Times New Roman" w:hAnsi="Times New Roman" w:eastAsia="仿宋_GB2312"/>
          <w:bCs w:val="0"/>
          <w:color w:val="auto"/>
          <w:sz w:val="32"/>
        </w:rPr>
      </w:pPr>
    </w:p>
    <w:p w14:paraId="4C5B230B">
      <w:pPr>
        <w:tabs>
          <w:tab w:val="left" w:pos="360"/>
          <w:tab w:val="left" w:pos="7920"/>
        </w:tabs>
        <w:spacing w:before="156" w:beforeLines="50"/>
        <w:ind w:firstLine="640" w:firstLineChars="200"/>
        <w:rPr>
          <w:rFonts w:ascii="Times New Roman" w:hAnsi="Times New Roman" w:eastAsia="仿宋_GB2312"/>
          <w:bCs w:val="0"/>
          <w:color w:val="auto"/>
          <w:sz w:val="32"/>
        </w:rPr>
      </w:pPr>
    </w:p>
    <w:p w14:paraId="4FFE5822">
      <w:pPr>
        <w:pStyle w:val="2"/>
        <w:spacing w:line="540" w:lineRule="atLeast"/>
        <w:rPr>
          <w:rFonts w:hint="eastAsia" w:ascii="仿宋_GB2312" w:eastAsia="仿宋_GB2312"/>
          <w:color w:val="auto"/>
          <w:spacing w:val="-5"/>
          <w:sz w:val="32"/>
          <w:szCs w:val="32"/>
        </w:rPr>
      </w:pPr>
    </w:p>
    <w:p w14:paraId="6FB70CD8">
      <w:pPr>
        <w:pBdr>
          <w:top w:val="single" w:color="auto" w:sz="8" w:space="1"/>
          <w:bottom w:val="single" w:color="auto" w:sz="8" w:space="1"/>
          <w:between w:val="single" w:color="auto" w:sz="6" w:space="1"/>
        </w:pBdr>
        <w:ind w:left="210" w:leftChars="100"/>
        <w:rPr>
          <w:rFonts w:hint="eastAsia" w:ascii="仿宋_GB2312" w:eastAsia="仿宋_GB2312"/>
          <w:color w:val="auto"/>
          <w:spacing w:val="-5"/>
          <w:sz w:val="32"/>
          <w:szCs w:val="32"/>
        </w:rPr>
      </w:pPr>
      <w:r>
        <w:rPr>
          <w:rFonts w:hint="eastAsia" w:ascii="仿宋_GB2312" w:hAnsi="仿宋" w:eastAsia="仿宋_GB2312"/>
          <w:color w:val="auto"/>
          <w:sz w:val="32"/>
          <w:szCs w:val="32"/>
        </w:rPr>
        <w:t>计算机学院                    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15</w:t>
      </w:r>
      <w:r>
        <w:rPr>
          <w:rFonts w:hint="eastAsia" w:ascii="仿宋_GB2312" w:eastAsia="仿宋_GB2312"/>
          <w:color w:val="auto"/>
          <w:sz w:val="32"/>
          <w:szCs w:val="32"/>
        </w:rPr>
        <w:t>日印发</w:t>
      </w:r>
    </w:p>
    <w:p w14:paraId="3ADC5F8E">
      <w:pPr>
        <w:tabs>
          <w:tab w:val="left" w:pos="360"/>
          <w:tab w:val="left" w:pos="7920"/>
        </w:tabs>
        <w:spacing w:before="156" w:beforeLines="50"/>
        <w:ind w:firstLine="640" w:firstLineChars="200"/>
        <w:rPr>
          <w:rFonts w:hint="eastAsia" w:ascii="仿宋_GB2312" w:hAnsi="Times New Roman" w:eastAsia="仿宋_GB2312"/>
          <w:bCs w:val="0"/>
          <w:color w:val="auto"/>
          <w:sz w:val="32"/>
          <w:szCs w:val="32"/>
        </w:rPr>
      </w:pPr>
    </w:p>
    <w:p w14:paraId="23809C59"/>
    <w:sectPr>
      <w:pgSz w:w="11906" w:h="16838"/>
      <w:pgMar w:top="992" w:right="1644" w:bottom="992"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76643">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77CD">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28C2796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21AB1"/>
    <w:multiLevelType w:val="multilevel"/>
    <w:tmpl w:val="1DE21AB1"/>
    <w:lvl w:ilvl="0" w:tentative="0">
      <w:start w:val="1"/>
      <w:numFmt w:val="decimal"/>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52ADFD"/>
    <w:multiLevelType w:val="singleLevel"/>
    <w:tmpl w:val="5652ADFD"/>
    <w:lvl w:ilvl="0" w:tentative="0">
      <w:start w:val="1"/>
      <w:numFmt w:val="japaneseCounting"/>
      <w:suff w:val="nothing"/>
      <w:lvlText w:val="（%1）"/>
      <w:lvlJc w:val="left"/>
      <w:pPr>
        <w:ind w:left="0" w:firstLine="420"/>
      </w:pPr>
      <w:rPr>
        <w:rFonts w:ascii="宋体" w:hAnsi="宋体" w:eastAsia="宋体"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95A55"/>
    <w:rsid w:val="3EFC2BBF"/>
    <w:rsid w:val="6C0C6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bCs/>
      <w:color w:val="000000"/>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3">
    <w:name w:val="Plain Text"/>
    <w:basedOn w:val="1"/>
    <w:uiPriority w:val="0"/>
    <w:rPr>
      <w:rFonts w:ascii="宋体" w:hAnsi="Courier New"/>
      <w:bCs w:val="0"/>
      <w:color w:val="auto"/>
      <w:szCs w:val="20"/>
    </w:rPr>
  </w:style>
  <w:style w:type="paragraph" w:styleId="4">
    <w:name w:val="footer"/>
    <w:basedOn w:val="1"/>
    <w:unhideWhenUsed/>
    <w:qFormat/>
    <w:uiPriority w:val="99"/>
    <w:pPr>
      <w:tabs>
        <w:tab w:val="center" w:pos="4153"/>
        <w:tab w:val="right" w:pos="8306"/>
      </w:tabs>
      <w:snapToGrid w:val="0"/>
      <w:jc w:val="left"/>
    </w:pPr>
    <w:rPr>
      <w:rFonts w:ascii="Calibri" w:hAnsi="Calibri"/>
      <w:bCs w:val="0"/>
      <w:color w:val="auto"/>
      <w:kern w:val="0"/>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2026-01-19T07:58:54Z</dcterms:created>
  <dc:creator>d503</dc:creator>
  <cp:lastModifiedBy>苏亨狄</cp:lastModifiedBy>
  <dcterms:modified xsi:type="dcterms:W3CDTF">2026-01-19T08:00:34Z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eyJoZGlkIjoiZjM0ZDk2ZGMzNmM3MDcxMTk0Njk4ZmNmMGM3YjIzZjgiLCJ1c2VySWQiOiIxNjQ5OTQ1MTMxIn0=</vt:lpwstr>
  </property>
  <property fmtid="{D5CDD505-2E9C-101B-9397-08002B2CF9AE}" pid="4" name="ICV">
    <vt:lpwstr>1F839029A99B45E1B5CF14233E5D54EF_12</vt:lpwstr>
  </property>
</Properties>
</file>