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eastAsia" w:ascii="微软雅黑"/>
          <w:sz w:val="20"/>
        </w:rPr>
      </w:pPr>
    </w:p>
    <w:p>
      <w:pPr>
        <w:pStyle w:val="7"/>
        <w:spacing w:before="2"/>
        <w:rPr>
          <w:rFonts w:hint="eastAsia" w:ascii="微软雅黑"/>
          <w:sz w:val="23"/>
        </w:rPr>
      </w:pPr>
    </w:p>
    <w:p>
      <w:pPr>
        <w:pStyle w:val="7"/>
        <w:ind w:left="3691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pStyle w:val="7"/>
        <w:rPr>
          <w:rFonts w:hint="eastAsia" w:ascii="微软雅黑"/>
          <w:sz w:val="20"/>
        </w:rPr>
      </w:pPr>
    </w:p>
    <w:p>
      <w:pPr>
        <w:spacing w:line="922" w:lineRule="exact"/>
        <w:ind w:left="660" w:right="735"/>
        <w:jc w:val="center"/>
        <w:rPr>
          <w:rFonts w:hint="eastAsia" w:ascii="微软雅黑" w:eastAsia="微软雅黑"/>
          <w:b/>
          <w:sz w:val="72"/>
        </w:rPr>
      </w:pPr>
      <w:r>
        <w:rPr>
          <w:rFonts w:hint="eastAsia" w:ascii="微软雅黑" w:eastAsia="微软雅黑"/>
          <w:b/>
          <w:color w:val="0D0D0D"/>
          <w:sz w:val="72"/>
        </w:rPr>
        <w:t>学生工作管理系统</w:t>
      </w:r>
    </w:p>
    <w:p>
      <w:pPr>
        <w:spacing w:before="13" w:line="242" w:lineRule="auto"/>
        <w:ind w:left="662" w:right="735"/>
        <w:jc w:val="center"/>
        <w:rPr>
          <w:rFonts w:hint="eastAsia" w:ascii="微软雅黑" w:eastAsia="微软雅黑"/>
          <w:b/>
          <w:color w:val="0D0D0D"/>
          <w:w w:val="95"/>
          <w:sz w:val="72"/>
        </w:rPr>
      </w:pPr>
      <w:r>
        <w:rPr>
          <w:rFonts w:hint="eastAsia" w:ascii="微软雅黑" w:eastAsia="微软雅黑"/>
          <w:b/>
          <w:color w:val="0D0D0D"/>
          <w:w w:val="95"/>
          <w:sz w:val="72"/>
          <w:lang w:val="en-US"/>
        </w:rPr>
        <w:t>奖学金</w:t>
      </w:r>
      <w:r>
        <w:rPr>
          <w:rFonts w:hint="eastAsia" w:ascii="微软雅黑" w:eastAsia="微软雅黑"/>
          <w:b/>
          <w:color w:val="0D0D0D"/>
          <w:w w:val="95"/>
          <w:sz w:val="72"/>
        </w:rPr>
        <w:t xml:space="preserve"> </w:t>
      </w:r>
    </w:p>
    <w:p>
      <w:pPr>
        <w:spacing w:before="9"/>
        <w:ind w:left="660" w:right="735"/>
        <w:jc w:val="center"/>
        <w:rPr>
          <w:rFonts w:hint="eastAsia" w:ascii="微软雅黑" w:eastAsia="微软雅黑"/>
          <w:b/>
          <w:sz w:val="72"/>
        </w:rPr>
      </w:pPr>
      <w:r>
        <w:rPr>
          <w:rFonts w:hint="eastAsia" w:ascii="微软雅黑" w:eastAsia="微软雅黑"/>
          <w:b/>
          <w:color w:val="0D0D0D"/>
          <w:w w:val="95"/>
          <w:sz w:val="72"/>
          <w:lang w:val="en-US"/>
        </w:rPr>
        <w:t>学生</w:t>
      </w:r>
      <w:r>
        <w:rPr>
          <w:rFonts w:hint="eastAsia" w:ascii="微软雅黑" w:eastAsia="微软雅黑"/>
          <w:b/>
          <w:color w:val="0D0D0D"/>
          <w:sz w:val="72"/>
          <w:lang w:val="en-US"/>
        </w:rPr>
        <w:t>用户</w:t>
      </w:r>
      <w:r>
        <w:rPr>
          <w:rFonts w:hint="eastAsia" w:ascii="微软雅黑" w:eastAsia="微软雅黑"/>
          <w:b/>
          <w:color w:val="0D0D0D"/>
          <w:sz w:val="72"/>
        </w:rPr>
        <w:t>使用手册</w:t>
      </w:r>
    </w:p>
    <w:p>
      <w:pPr>
        <w:pStyle w:val="7"/>
        <w:rPr>
          <w:rFonts w:hint="eastAsia" w:ascii="微软雅黑"/>
          <w:b/>
          <w:sz w:val="72"/>
        </w:rPr>
      </w:pPr>
    </w:p>
    <w:p>
      <w:pPr>
        <w:pStyle w:val="7"/>
        <w:rPr>
          <w:rFonts w:hint="eastAsia" w:ascii="微软雅黑"/>
          <w:b/>
          <w:sz w:val="72"/>
        </w:rPr>
      </w:pPr>
    </w:p>
    <w:p>
      <w:pPr>
        <w:pStyle w:val="7"/>
        <w:rPr>
          <w:rFonts w:hint="eastAsia" w:ascii="微软雅黑"/>
          <w:b/>
          <w:sz w:val="72"/>
        </w:rPr>
      </w:pPr>
    </w:p>
    <w:p>
      <w:pPr>
        <w:pStyle w:val="7"/>
        <w:rPr>
          <w:rFonts w:hint="eastAsia" w:ascii="微软雅黑"/>
          <w:b/>
          <w:sz w:val="72"/>
        </w:rPr>
      </w:pPr>
    </w:p>
    <w:p>
      <w:pPr>
        <w:pStyle w:val="7"/>
        <w:spacing w:before="1"/>
        <w:rPr>
          <w:rFonts w:hint="eastAsia" w:ascii="微软雅黑"/>
          <w:b/>
          <w:sz w:val="84"/>
        </w:rPr>
      </w:pPr>
    </w:p>
    <w:p>
      <w:pPr>
        <w:ind w:left="662" w:right="733"/>
        <w:jc w:val="center"/>
        <w:rPr>
          <w:rFonts w:hint="eastAsia" w:ascii="微软雅黑"/>
          <w:sz w:val="40"/>
        </w:rPr>
      </w:pPr>
      <w:r>
        <w:rPr>
          <w:rFonts w:hint="eastAsia" w:ascii="微软雅黑"/>
          <w:b/>
          <w:color w:val="0D0D0D"/>
          <w:sz w:val="40"/>
        </w:rPr>
        <w:t>Version</w:t>
      </w:r>
      <w:r>
        <w:rPr>
          <w:rFonts w:hint="eastAsia" w:ascii="微软雅黑"/>
          <w:color w:val="333333"/>
          <w:sz w:val="40"/>
        </w:rPr>
        <w:t>1.0.0</w:t>
      </w:r>
    </w:p>
    <w:p>
      <w:pPr>
        <w:jc w:val="center"/>
        <w:rPr>
          <w:rFonts w:hint="eastAsia" w:ascii="微软雅黑"/>
          <w:sz w:val="40"/>
        </w:rPr>
        <w:sectPr>
          <w:pgSz w:w="11910" w:h="16840"/>
          <w:pgMar w:top="1580" w:right="1600" w:bottom="280" w:left="1680" w:header="720" w:footer="720" w:gutter="0"/>
          <w:cols w:space="720" w:num="1"/>
        </w:sectPr>
      </w:pPr>
    </w:p>
    <w:p>
      <w:pPr>
        <w:pStyle w:val="7"/>
        <w:rPr>
          <w:rFonts w:hint="eastAsia" w:ascii="微软雅黑"/>
          <w:sz w:val="20"/>
        </w:rPr>
      </w:pPr>
    </w:p>
    <w:p>
      <w:pPr>
        <w:tabs>
          <w:tab w:val="left" w:pos="779"/>
        </w:tabs>
        <w:spacing w:before="129"/>
        <w:ind w:left="120"/>
        <w:rPr>
          <w:b/>
          <w:sz w:val="44"/>
        </w:rPr>
      </w:pPr>
      <w:r>
        <w:rPr>
          <w:b/>
          <w:color w:val="0B0B0B"/>
          <w:sz w:val="44"/>
        </w:rPr>
        <w:t>目</w:t>
      </w:r>
      <w:r>
        <w:rPr>
          <w:b/>
          <w:color w:val="0B0B0B"/>
          <w:sz w:val="44"/>
        </w:rPr>
        <w:tab/>
      </w:r>
      <w:r>
        <w:rPr>
          <w:b/>
          <w:color w:val="0B0B0B"/>
          <w:sz w:val="44"/>
        </w:rPr>
        <w:t>录</w:t>
      </w:r>
    </w:p>
    <w:sdt>
      <w:sdtPr>
        <w:rPr>
          <w:rFonts w:hint="eastAsia" w:ascii="微软雅黑" w:hAnsi="微软雅黑" w:eastAsia="微软雅黑"/>
          <w:sz w:val="21"/>
        </w:rPr>
        <w:id w:val="147478140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/>
          <w:sz w:val="22"/>
        </w:rPr>
      </w:sdtEndPr>
      <w:sdtContent>
        <w:p>
          <w:pPr>
            <w:jc w:val="center"/>
          </w:pPr>
        </w:p>
        <w:p>
          <w:pPr>
            <w:pStyle w:val="10"/>
            <w:tabs>
              <w:tab w:val="right" w:leader="dot" w:pos="8630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_Toc4532 </w:instrText>
          </w:r>
          <w:r>
            <w:fldChar w:fldCharType="separate"/>
          </w:r>
          <w:r>
            <w:t>1. 登录（PC</w:t>
          </w:r>
          <w:r>
            <w:rPr>
              <w:spacing w:val="-8"/>
            </w:rPr>
            <w:t xml:space="preserve"> 端</w:t>
          </w:r>
          <w:r>
            <w:t>）</w:t>
          </w:r>
          <w:r>
            <w:tab/>
          </w:r>
          <w:r>
            <w:fldChar w:fldCharType="begin"/>
          </w:r>
          <w:r>
            <w:instrText xml:space="preserve"> PAGEREF _Toc4532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_Toc21097 </w:instrText>
          </w:r>
          <w:r>
            <w:fldChar w:fldCharType="separate"/>
          </w:r>
          <w:r>
            <w:rPr>
              <w:rFonts w:hint="default" w:ascii="微软雅黑" w:hAnsi="微软雅黑" w:eastAsia="微软雅黑"/>
              <w:lang w:val="en-US"/>
            </w:rPr>
            <w:t xml:space="preserve">1.1 </w:t>
          </w:r>
          <w:r>
            <w:rPr>
              <w:rFonts w:hint="eastAsia" w:ascii="微软雅黑" w:hAnsi="微软雅黑" w:eastAsia="微软雅黑"/>
              <w:spacing w:val="0"/>
              <w:lang w:val="en-US"/>
            </w:rPr>
            <w:t>方式</w:t>
          </w:r>
          <w:r>
            <w:rPr>
              <w:rFonts w:hint="eastAsia"/>
              <w:spacing w:val="0"/>
              <w:lang w:val="en-US" w:eastAsia="zh-CN"/>
            </w:rPr>
            <w:t>一</w:t>
          </w:r>
          <w:r>
            <w:rPr>
              <w:rFonts w:hint="eastAsia" w:ascii="微软雅黑" w:hAnsi="微软雅黑" w:eastAsia="微软雅黑"/>
              <w:spacing w:val="0"/>
              <w:lang w:val="en-US"/>
            </w:rPr>
            <w:t>：通过学生工作管理系统奖学金模块</w:t>
          </w:r>
          <w:r>
            <w:tab/>
          </w:r>
          <w:r>
            <w:fldChar w:fldCharType="begin"/>
          </w:r>
          <w:r>
            <w:instrText xml:space="preserve"> PAGEREF _Toc21097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_Toc31153 </w:instrText>
          </w:r>
          <w:r>
            <w:fldChar w:fldCharType="separate"/>
          </w:r>
          <w:r>
            <w:rPr>
              <w:rFonts w:hint="default" w:ascii="微软雅黑" w:hAnsi="微软雅黑" w:eastAsia="微软雅黑"/>
              <w:lang w:val="en-US"/>
            </w:rPr>
            <w:t xml:space="preserve">1.2 </w:t>
          </w:r>
          <w:r>
            <w:rPr>
              <w:rFonts w:hint="eastAsia" w:ascii="微软雅黑" w:hAnsi="微软雅黑" w:eastAsia="微软雅黑"/>
              <w:lang w:val="en-US"/>
            </w:rPr>
            <w:t>方式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 w:ascii="微软雅黑" w:hAnsi="微软雅黑" w:eastAsia="微软雅黑"/>
              <w:lang w:val="en-US"/>
            </w:rPr>
            <w:t>：通过统一门户</w:t>
          </w:r>
          <w:r>
            <w:tab/>
          </w:r>
          <w:r>
            <w:fldChar w:fldCharType="begin"/>
          </w:r>
          <w:r>
            <w:instrText xml:space="preserve"> PAGEREF _Toc31153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_Toc20499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  <w:lang w:val="en-US"/>
            </w:rPr>
            <w:t>奖学金申请</w:t>
          </w:r>
          <w:r>
            <w:tab/>
          </w:r>
          <w:r>
            <w:fldChar w:fldCharType="begin"/>
          </w:r>
          <w:r>
            <w:instrText xml:space="preserve"> PAGEREF _Toc20499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_Toc3824 </w:instrText>
          </w:r>
          <w:r>
            <w:fldChar w:fldCharType="separate"/>
          </w:r>
          <w:r>
            <w:rPr>
              <w:rFonts w:hint="default"/>
              <w:lang w:val="en-US"/>
            </w:rPr>
            <w:t xml:space="preserve">2.3.1 </w:t>
          </w:r>
          <w:r>
            <w:rPr>
              <w:rFonts w:hint="eastAsia"/>
              <w:lang w:val="en-US"/>
            </w:rPr>
            <w:t>审核中</w:t>
          </w:r>
          <w:r>
            <w:tab/>
          </w:r>
          <w:r>
            <w:fldChar w:fldCharType="begin"/>
          </w:r>
          <w:r>
            <w:instrText xml:space="preserve"> PAGEREF _Toc3824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_Toc22594 </w:instrText>
          </w:r>
          <w:r>
            <w:fldChar w:fldCharType="separate"/>
          </w:r>
          <w:r>
            <w:rPr>
              <w:rFonts w:hint="default"/>
              <w:lang w:val="zh-CN"/>
            </w:rPr>
            <w:t>2.3.2 已通过</w:t>
          </w:r>
          <w:r>
            <w:tab/>
          </w:r>
          <w:r>
            <w:fldChar w:fldCharType="begin"/>
          </w:r>
          <w:r>
            <w:instrText xml:space="preserve"> PAGEREF _Toc22594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_Toc18268 </w:instrText>
          </w:r>
          <w:r>
            <w:fldChar w:fldCharType="separate"/>
          </w:r>
          <w:r>
            <w:rPr>
              <w:rFonts w:hint="default"/>
              <w:lang w:val="en-US"/>
            </w:rPr>
            <w:t xml:space="preserve">2.4.1 </w:t>
          </w:r>
          <w:r>
            <w:rPr>
              <w:rFonts w:hint="eastAsia"/>
              <w:lang w:val="en-US"/>
            </w:rPr>
            <w:t>不通过</w:t>
          </w:r>
          <w:r>
            <w:tab/>
          </w:r>
          <w:r>
            <w:fldChar w:fldCharType="begin"/>
          </w:r>
          <w:r>
            <w:instrText xml:space="preserve"> PAGEREF _Toc18268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630"/>
            </w:tabs>
          </w:pPr>
          <w:r>
            <w:fldChar w:fldCharType="begin"/>
          </w:r>
          <w:r>
            <w:instrText xml:space="preserve"> HYPERLINK \l _Toc7929 </w:instrText>
          </w:r>
          <w:r>
            <w:fldChar w:fldCharType="separate"/>
          </w:r>
          <w:r>
            <w:rPr>
              <w:rFonts w:hint="default"/>
              <w:lang w:val="en-US"/>
            </w:rPr>
            <w:t xml:space="preserve">2.4.2 </w:t>
          </w:r>
          <w:r>
            <w:rPr>
              <w:rFonts w:hint="eastAsia"/>
              <w:lang w:val="en-US"/>
            </w:rPr>
            <w:t>回退</w:t>
          </w:r>
          <w:r>
            <w:tab/>
          </w:r>
          <w:r>
            <w:fldChar w:fldCharType="begin"/>
          </w:r>
          <w:r>
            <w:instrText xml:space="preserve"> PAGEREF _Toc7929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sectPr>
              <w:pgSz w:w="11910" w:h="16840"/>
              <w:pgMar w:top="1580" w:right="1600" w:bottom="280" w:left="1680" w:header="720" w:footer="720" w:gutter="0"/>
              <w:cols w:space="720" w:num="1"/>
            </w:sectPr>
          </w:pPr>
          <w:r>
            <w:fldChar w:fldCharType="end"/>
          </w:r>
        </w:p>
      </w:sdtContent>
    </w:sdt>
    <w:p>
      <w:pPr>
        <w:pStyle w:val="7"/>
        <w:spacing w:before="15"/>
        <w:rPr>
          <w:sz w:val="28"/>
        </w:rPr>
      </w:pPr>
    </w:p>
    <w:p>
      <w:pPr>
        <w:pStyle w:val="2"/>
        <w:numPr>
          <w:ilvl w:val="0"/>
          <w:numId w:val="1"/>
        </w:numPr>
        <w:rPr>
          <w:rFonts w:hint="eastAsia"/>
          <w:lang w:val="en-US"/>
        </w:rPr>
      </w:pPr>
      <w:bookmarkStart w:id="0" w:name="1.1登录（PC端）"/>
      <w:bookmarkEnd w:id="0"/>
      <w:r>
        <w:rPr>
          <w:rFonts w:hint="eastAsia"/>
          <w:lang w:val="en-US"/>
        </w:rPr>
        <w:t>登录</w:t>
      </w:r>
    </w:p>
    <w:p>
      <w:pPr>
        <w:widowControl/>
        <w:ind w:left="420" w:firstLine="420"/>
        <w:rPr>
          <w:rFonts w:hint="eastAsia"/>
          <w:color w:val="000000"/>
          <w:sz w:val="24"/>
          <w:szCs w:val="24"/>
          <w:lang w:val="en-US" w:eastAsia="zh-CN" w:bidi="ar"/>
        </w:rPr>
      </w:pPr>
      <w:bookmarkStart w:id="1" w:name="1.1.1方式一：通过统一门户"/>
      <w:bookmarkEnd w:id="1"/>
      <w:bookmarkStart w:id="2" w:name="1.1.2方式二：通过学生工作管理系统家庭经济困难学生认定模块"/>
      <w:bookmarkEnd w:id="2"/>
      <w:r>
        <w:rPr>
          <w:rFonts w:hint="eastAsia"/>
          <w:color w:val="000000"/>
          <w:sz w:val="24"/>
          <w:szCs w:val="24"/>
          <w:lang w:val="en-US" w:eastAsia="zh-CN" w:bidi="ar"/>
        </w:rPr>
        <w:t>打开浏览器在地址栏输入统一门户访问地址：https://portal.sysu.edu.cn，点击登录，进入登录页面，通过NetID登录。如图1所示：</w:t>
      </w:r>
    </w:p>
    <w:p>
      <w:pPr>
        <w:jc w:val="center"/>
      </w:pPr>
      <w:r>
        <w:drawing>
          <wp:inline distT="0" distB="0" distL="114300" distR="114300">
            <wp:extent cx="5479415" cy="2857500"/>
            <wp:effectExtent l="0" t="0" r="6985" b="1270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rPr>
          <w:rFonts w:hint="eastAsia" w:ascii="Times New Roman" w:hAnsi="Times New Roman" w:eastAsia="宋体" w:cs="Times New Roman"/>
          <w:szCs w:val="24"/>
        </w:rPr>
      </w:pPr>
    </w:p>
    <w:p>
      <w:pPr>
        <w:widowControl/>
        <w:ind w:left="420" w:firstLine="420"/>
        <w:rPr>
          <w:rFonts w:hint="eastAsia"/>
          <w:color w:val="000000"/>
          <w:sz w:val="24"/>
          <w:szCs w:val="24"/>
          <w:lang w:val="en-US" w:eastAsia="zh-CN" w:bidi="ar"/>
        </w:rPr>
      </w:pPr>
      <w:r>
        <w:rPr>
          <w:rFonts w:hint="eastAsia"/>
          <w:color w:val="000000"/>
          <w:sz w:val="24"/>
          <w:szCs w:val="24"/>
          <w:lang w:val="en-US" w:eastAsia="zh-CN" w:bidi="ar"/>
        </w:rPr>
        <w:t>统一门户“系统收藏夹”里的“学工工作管理系统”指向新的学工系统首页。</w:t>
      </w:r>
    </w:p>
    <w:p>
      <w:pPr>
        <w:widowControl/>
        <w:ind w:left="420" w:firstLine="420"/>
        <w:rPr>
          <w:rFonts w:hint="eastAsia"/>
          <w:color w:val="000000"/>
          <w:sz w:val="24"/>
          <w:szCs w:val="24"/>
          <w:lang w:val="en-US" w:eastAsia="zh-CN" w:bidi="ar"/>
        </w:rPr>
      </w:pPr>
    </w:p>
    <w:p>
      <w:pPr>
        <w:widowControl/>
        <w:rPr>
          <w:rFonts w:hint="eastAsia"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drawing>
          <wp:inline distT="0" distB="0" distL="0" distR="0">
            <wp:extent cx="5274310" cy="1292225"/>
            <wp:effectExtent l="0" t="0" r="8890" b="3175"/>
            <wp:docPr id="1359" name="图片 1359" descr="C:\Users\Manson\AppData\Local\Temp\企业微信截图_1638524978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图片 1359" descr="C:\Users\Manson\AppData\Local\Temp\企业微信截图_16385249784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ind w:left="420" w:firstLine="420"/>
        <w:rPr>
          <w:rFonts w:hint="eastAsia"/>
          <w:color w:val="000000"/>
          <w:sz w:val="24"/>
          <w:szCs w:val="24"/>
          <w:lang w:val="en-US" w:eastAsia="zh-CN" w:bidi="ar"/>
        </w:rPr>
      </w:pPr>
      <w:r>
        <w:rPr>
          <w:rFonts w:hint="eastAsia"/>
          <w:color w:val="000000"/>
          <w:sz w:val="24"/>
          <w:szCs w:val="24"/>
          <w:lang w:val="en-US" w:eastAsia="zh-CN" w:bidi="ar"/>
        </w:rPr>
        <w:t>直接输入学工工作管理系统地址访问，打开浏览器在地址栏输入奖学金系统访问地址：https://xgxt.sysu.edu.cn/ 进入“学生工作管理系统—权限登录平台界面”，通过NetID登录。</w:t>
      </w:r>
    </w:p>
    <w:p>
      <w:pPr>
        <w:spacing w:line="360" w:lineRule="auto"/>
        <w:ind w:firstLine="330" w:firstLineChars="150"/>
        <w:jc w:val="center"/>
        <w:rPr>
          <w:rFonts w:hint="eastAsia"/>
          <w:szCs w:val="21"/>
          <w:lang w:val="en-US" w:eastAsia="zh-CN"/>
        </w:rPr>
      </w:pPr>
      <w:r>
        <w:drawing>
          <wp:inline distT="0" distB="0" distL="114300" distR="114300">
            <wp:extent cx="3776980" cy="3005455"/>
            <wp:effectExtent l="0" t="0" r="7620" b="171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Cs w:val="21"/>
          <w:lang w:val="en-US" w:eastAsia="zh-CN"/>
        </w:rPr>
      </w:pPr>
    </w:p>
    <w:p>
      <w:pPr>
        <w:widowControl/>
        <w:ind w:left="420" w:firstLine="420"/>
      </w:pPr>
      <w:r>
        <w:rPr>
          <w:rFonts w:hint="eastAsia"/>
          <w:color w:val="000000"/>
          <w:sz w:val="24"/>
          <w:szCs w:val="24"/>
          <w:lang w:val="en-US" w:eastAsia="zh-CN" w:bidi="ar"/>
        </w:rPr>
        <w:t>进入学生工作管理系统首页，点击“奖学金”（https://xgxt.sysu.edu.cn/jxj）</w:t>
      </w:r>
    </w:p>
    <w:p>
      <w:pPr>
        <w:ind w:left="420" w:leftChars="0" w:firstLine="420" w:firstLineChars="0"/>
        <w:jc w:val="center"/>
      </w:pPr>
      <w:r>
        <w:drawing>
          <wp:inline distT="0" distB="0" distL="114300" distR="114300">
            <wp:extent cx="2272030" cy="172593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58707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widowControl/>
        <w:ind w:left="420" w:firstLine="420"/>
        <w:rPr>
          <w:rFonts w:hint="eastAsia"/>
          <w:color w:val="000000"/>
          <w:sz w:val="24"/>
          <w:szCs w:val="24"/>
          <w:lang w:val="en-US" w:eastAsia="zh-CN" w:bidi="ar"/>
        </w:rPr>
      </w:pPr>
      <w:r>
        <w:rPr>
          <w:rFonts w:hint="eastAsia"/>
          <w:color w:val="000000"/>
          <w:sz w:val="24"/>
          <w:szCs w:val="24"/>
          <w:lang w:val="en-US" w:eastAsia="zh-CN" w:bidi="ar"/>
        </w:rPr>
        <w:t>可点击“开始办理”，进入该业务模块的主界面。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507865" cy="2649220"/>
            <wp:effectExtent l="0" t="0" r="1333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37" w:line="338" w:lineRule="auto"/>
        <w:ind w:left="120" w:right="145" w:firstLine="480"/>
      </w:pPr>
    </w:p>
    <w:p>
      <w:pPr>
        <w:spacing w:line="338" w:lineRule="auto"/>
        <w:jc w:val="center"/>
        <w:sectPr>
          <w:pgSz w:w="11910" w:h="16840"/>
          <w:pgMar w:top="1500" w:right="1560" w:bottom="280" w:left="1680" w:header="720" w:footer="720" w:gutter="0"/>
          <w:cols w:space="720" w:num="1"/>
        </w:sectPr>
      </w:pPr>
    </w:p>
    <w:p/>
    <w:p>
      <w:pPr>
        <w:pStyle w:val="2"/>
        <w:numPr>
          <w:ilvl w:val="0"/>
          <w:numId w:val="2"/>
        </w:numPr>
        <w:tabs>
          <w:tab w:val="left" w:pos="696"/>
        </w:tabs>
        <w:ind w:left="120"/>
      </w:pPr>
      <w:bookmarkStart w:id="3" w:name="_bookmark2"/>
      <w:bookmarkEnd w:id="3"/>
      <w:bookmarkStart w:id="4" w:name="_bookmark1"/>
      <w:bookmarkEnd w:id="4"/>
      <w:bookmarkStart w:id="5" w:name="1.1.1方式一：通过统一门户查看"/>
      <w:bookmarkEnd w:id="5"/>
      <w:bookmarkStart w:id="6" w:name="1.1.2方式二：通过学生工作管理系统家庭经济困难学生认定模块查看"/>
      <w:bookmarkEnd w:id="6"/>
      <w:bookmarkStart w:id="7" w:name="1.2辅导员审核"/>
      <w:bookmarkEnd w:id="7"/>
      <w:bookmarkStart w:id="8" w:name="_Toc20499"/>
      <w:r>
        <w:rPr>
          <w:rFonts w:hint="eastAsia"/>
          <w:lang w:val="en-US" w:eastAsia="zh-Hans"/>
        </w:rPr>
        <w:t>奖学金</w:t>
      </w:r>
      <w:r>
        <w:rPr>
          <w:rFonts w:hint="eastAsia"/>
          <w:lang w:val="en-US"/>
        </w:rPr>
        <w:t>申请</w:t>
      </w:r>
      <w:bookmarkEnd w:id="8"/>
    </w:p>
    <w:p>
      <w:pPr>
        <w:ind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登陆后进入奖学金模块的主界面，主界面显示可参评的奖项卡片，奖项卡片对奖项进行了简要说明，学生可点击下载材料说明进行查看。有申请需求的学生，可点击”开始办理“进入办理页面。</w:t>
      </w:r>
    </w:p>
    <w:p/>
    <w:p>
      <w:pPr>
        <w:jc w:val="center"/>
      </w:pPr>
      <w:r>
        <w:rPr>
          <w:lang w:val="en-US" w:bidi="ar-SA"/>
        </w:rPr>
        <w:drawing>
          <wp:inline distT="0" distB="0" distL="114300" distR="114300">
            <wp:extent cx="5469255" cy="2582545"/>
            <wp:effectExtent l="0" t="0" r="762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rPr>
          <w:lang w:val="en-US"/>
        </w:rPr>
      </w:pPr>
      <w:r>
        <w:rPr>
          <w:rFonts w:hint="eastAsia"/>
          <w:lang w:val="en-US"/>
        </w:rPr>
        <w:t>开始办理</w:t>
      </w:r>
    </w:p>
    <w:p>
      <w:pPr>
        <w:ind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当点击”开始办理“后，显示如下弹窗提示，则表明你尚不符合该奖项的申请条件，并告知你不符合哪些申请条件（此图仅供参考，每位学生的情况不同）。</w:t>
      </w:r>
    </w:p>
    <w:p/>
    <w:p>
      <w:pPr>
        <w:jc w:val="center"/>
      </w:pPr>
      <w:r>
        <w:rPr>
          <w:lang w:val="en-US" w:bidi="ar-SA"/>
        </w:rPr>
        <w:drawing>
          <wp:inline distT="0" distB="0" distL="114300" distR="114300">
            <wp:extent cx="3822700" cy="1713230"/>
            <wp:effectExtent l="0" t="0" r="6350" b="12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ind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当点击”开始办理“后，显示以下界面，须认真阅读办理须知，确认后勾选“本人已仔细阅读并同意”，方可开始办理。如图所示：</w:t>
      </w:r>
    </w:p>
    <w:p>
      <w:pPr>
        <w:ind w:firstLine="420"/>
      </w:pPr>
      <w:r>
        <w:rPr>
          <w:lang w:val="en-US" w:bidi="ar-SA"/>
        </w:rPr>
        <w:drawing>
          <wp:inline distT="0" distB="0" distL="114300" distR="114300">
            <wp:extent cx="5467985" cy="1797050"/>
            <wp:effectExtent l="0" t="0" r="8890" b="31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left="0" w:firstLine="420"/>
        <w:rPr>
          <w:rFonts w:hint="default"/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进入奖项申请填写页面，其中所有内容皆为必填项，没有则填写“无”。</w:t>
      </w:r>
    </w:p>
    <w:p>
      <w:pPr>
        <w:ind w:left="0" w:firstLine="420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其中【班级】字段目前暂定设置为【专业】信息，非设置错误。</w:t>
      </w:r>
    </w:p>
    <w:p>
      <w:pPr>
        <w:ind w:firstLine="420"/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467985" cy="2637790"/>
            <wp:effectExtent l="0" t="0" r="8890" b="63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若有获奖情况、实践经历等个人情况的同学，点击添加后填写相关信息即可。</w:t>
      </w:r>
    </w:p>
    <w:p>
      <w:pPr>
        <w:ind w:firstLine="420"/>
      </w:pPr>
      <w:r>
        <w:rPr>
          <w:lang w:val="en-US" w:bidi="ar-SA"/>
        </w:rPr>
        <w:drawing>
          <wp:inline distT="0" distB="0" distL="114300" distR="114300">
            <wp:extent cx="5472430" cy="1891030"/>
            <wp:effectExtent l="0" t="0" r="444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color w:val="FF0000"/>
          <w:lang w:val="en-US"/>
        </w:rPr>
      </w:pPr>
      <w:r>
        <w:rPr>
          <w:rFonts w:hint="eastAsia"/>
          <w:color w:val="FF0000"/>
          <w:lang w:val="en-US"/>
        </w:rPr>
        <w:t>注意！以获奖情况为例，在没有点击</w:t>
      </w:r>
      <w:r>
        <w:rPr>
          <w:color w:val="FF0000"/>
          <w:lang w:val="en-US"/>
        </w:rPr>
        <w:t>”</w:t>
      </w:r>
      <w:r>
        <w:rPr>
          <w:rFonts w:hint="eastAsia"/>
          <w:color w:val="FF0000"/>
          <w:lang w:val="en-US"/>
        </w:rPr>
        <w:t>保存</w:t>
      </w:r>
      <w:r>
        <w:rPr>
          <w:color w:val="FF0000"/>
          <w:lang w:val="en-US"/>
        </w:rPr>
        <w:t>”</w:t>
      </w:r>
      <w:r>
        <w:rPr>
          <w:rFonts w:hint="eastAsia"/>
          <w:color w:val="FF0000"/>
          <w:lang w:val="en-US"/>
        </w:rPr>
        <w:t>的情况下，无法新增下一条获奖情况。</w:t>
      </w:r>
    </w:p>
    <w:p>
      <w:pPr>
        <w:ind w:firstLine="420"/>
      </w:pPr>
      <w:r>
        <w:rPr>
          <w:lang w:val="en-US" w:bidi="ar-SA"/>
        </w:rPr>
        <w:drawing>
          <wp:inline distT="0" distB="0" distL="114300" distR="114300">
            <wp:extent cx="5473065" cy="878205"/>
            <wp:effectExtent l="0" t="0" r="3810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rPr>
          <w:sz w:val="21"/>
        </w:rPr>
      </w:pPr>
      <w:r>
        <w:rPr>
          <w:rFonts w:hint="eastAsia"/>
          <w:lang w:val="en-US"/>
        </w:rPr>
        <w:t>保存与提交</w:t>
      </w:r>
    </w:p>
    <w:p>
      <w:pPr>
        <w:spacing w:line="338" w:lineRule="auto"/>
        <w:ind w:left="0" w:right="265"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未完成申请表单填写的情况下，可以点击“保存”，保存已填写的内容；后续通过“继续办理”按钮继续填写。</w:t>
      </w:r>
    </w:p>
    <w:p>
      <w:pPr>
        <w:spacing w:line="338" w:lineRule="auto"/>
        <w:ind w:left="0" w:right="265" w:firstLine="420"/>
        <w:rPr>
          <w:sz w:val="24"/>
          <w:szCs w:val="24"/>
          <w:lang w:val="zh-CN"/>
        </w:rPr>
      </w:pPr>
      <w:r>
        <w:rPr>
          <w:sz w:val="24"/>
          <w:szCs w:val="24"/>
          <w:lang w:val="zh-CN" w:bidi="ar-SA"/>
        </w:rPr>
        <w:drawing>
          <wp:inline distT="0" distB="0" distL="114300" distR="114300">
            <wp:extent cx="5475605" cy="2614930"/>
            <wp:effectExtent l="0" t="0" r="1270" b="444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38" w:lineRule="auto"/>
        <w:ind w:left="0" w:right="237" w:firstLine="420"/>
        <w:jc w:val="both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填写完申请表单内容后，点击“提交”即可提交申请，一旦提交不能再次修改，请提交前确认信息的准确性。</w:t>
      </w:r>
    </w:p>
    <w:p>
      <w:pPr>
        <w:pStyle w:val="7"/>
        <w:spacing w:line="338" w:lineRule="auto"/>
        <w:ind w:left="120" w:right="237" w:firstLine="480"/>
        <w:jc w:val="both"/>
      </w:pPr>
      <w:r>
        <w:rPr>
          <w:lang w:val="en-US" w:bidi="ar-SA"/>
        </w:rPr>
        <w:drawing>
          <wp:inline distT="0" distB="0" distL="114300" distR="114300">
            <wp:extent cx="5477510" cy="4020185"/>
            <wp:effectExtent l="0" t="0" r="8890" b="889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rPr>
          <w:lang w:val="en-US"/>
        </w:rPr>
      </w:pPr>
      <w:r>
        <w:rPr>
          <w:rFonts w:hint="eastAsia"/>
          <w:lang w:val="en-US"/>
        </w:rPr>
        <w:t>查看详情</w:t>
      </w:r>
    </w:p>
    <w:p>
      <w:pPr>
        <w:numPr>
          <w:ilvl w:val="2"/>
          <w:numId w:val="2"/>
        </w:numPr>
        <w:outlineLvl w:val="2"/>
        <w:rPr>
          <w:lang w:val="en-US"/>
        </w:rPr>
      </w:pPr>
      <w:bookmarkStart w:id="9" w:name="_Toc3824"/>
      <w:r>
        <w:rPr>
          <w:rFonts w:hint="eastAsia"/>
          <w:lang w:val="en-US"/>
        </w:rPr>
        <w:t>审核中</w:t>
      </w:r>
      <w:bookmarkEnd w:id="9"/>
    </w:p>
    <w:p>
      <w:pPr>
        <w:ind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对于审核中的参评奖项，可以点击”查看详情“查看办理进度以及办理详情。</w:t>
      </w:r>
    </w:p>
    <w:p>
      <w:pPr>
        <w:ind w:firstLine="420"/>
        <w:rPr>
          <w:sz w:val="24"/>
          <w:szCs w:val="24"/>
        </w:rPr>
      </w:pPr>
    </w:p>
    <w:p>
      <w:pPr>
        <w:ind w:firstLine="420"/>
        <w:rPr>
          <w:sz w:val="24"/>
          <w:szCs w:val="24"/>
        </w:rPr>
      </w:pPr>
      <w:r>
        <w:rPr>
          <w:sz w:val="24"/>
          <w:szCs w:val="24"/>
          <w:lang w:val="zh-CN" w:bidi="ar-SA"/>
        </w:rPr>
        <w:drawing>
          <wp:inline distT="0" distB="0" distL="114300" distR="114300">
            <wp:extent cx="5475605" cy="1410970"/>
            <wp:effectExtent l="0" t="0" r="1270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  <w:szCs w:val="24"/>
        </w:rPr>
      </w:pPr>
      <w:r>
        <w:rPr>
          <w:sz w:val="24"/>
          <w:szCs w:val="24"/>
          <w:lang w:val="zh-CN" w:bidi="ar-SA"/>
        </w:rPr>
        <w:drawing>
          <wp:inline distT="0" distB="0" distL="114300" distR="114300">
            <wp:extent cx="5475605" cy="2016760"/>
            <wp:effectExtent l="0" t="0" r="1270" b="254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  <w:szCs w:val="24"/>
        </w:rPr>
      </w:pPr>
    </w:p>
    <w:p>
      <w:pPr>
        <w:numPr>
          <w:ilvl w:val="2"/>
          <w:numId w:val="2"/>
        </w:numPr>
        <w:outlineLvl w:val="2"/>
        <w:rPr>
          <w:rFonts w:hint="eastAsia"/>
          <w:lang w:val="zh-CN"/>
        </w:rPr>
      </w:pPr>
      <w:bookmarkStart w:id="10" w:name="_Toc22594"/>
      <w:r>
        <w:rPr>
          <w:rFonts w:hint="default"/>
          <w:lang w:val="zh-CN"/>
        </w:rPr>
        <w:t>已通过</w:t>
      </w:r>
      <w:bookmarkEnd w:id="10"/>
    </w:p>
    <w:p>
      <w:pPr>
        <w:ind w:firstLine="420"/>
        <w:outlineLvl w:val="9"/>
        <w:rPr>
          <w:sz w:val="24"/>
          <w:szCs w:val="24"/>
        </w:rPr>
      </w:pPr>
      <w:bookmarkStart w:id="11" w:name="_Toc25017"/>
      <w:bookmarkStart w:id="12" w:name="_Toc23684"/>
      <w:bookmarkStart w:id="13" w:name="_Toc30495"/>
      <w:bookmarkStart w:id="14" w:name="_Toc28146"/>
      <w:bookmarkStart w:id="15" w:name="_Toc1420"/>
      <w:r>
        <w:rPr>
          <w:rFonts w:hint="default"/>
          <w:sz w:val="24"/>
          <w:szCs w:val="24"/>
          <w:lang w:val="zh-CN"/>
        </w:rPr>
        <w:t>对于已通过的可参评奖项，可以点击”查看详情“查看办理详情记录</w:t>
      </w:r>
      <w:bookmarkEnd w:id="11"/>
      <w:bookmarkEnd w:id="12"/>
      <w:bookmarkEnd w:id="13"/>
      <w:bookmarkEnd w:id="14"/>
      <w:r>
        <w:rPr>
          <w:rFonts w:hint="default"/>
          <w:sz w:val="24"/>
          <w:szCs w:val="24"/>
          <w:lang w:val="zh-CN"/>
        </w:rPr>
        <w:t>。</w:t>
      </w:r>
      <w:bookmarkEnd w:id="15"/>
    </w:p>
    <w:p>
      <w:pPr>
        <w:ind w:firstLine="420"/>
        <w:outlineLvl w:val="2"/>
        <w:rPr>
          <w:lang w:val="en-US"/>
        </w:rPr>
      </w:pPr>
      <w:bookmarkStart w:id="16" w:name="_Toc12130"/>
      <w:bookmarkStart w:id="17" w:name="_Toc18111"/>
      <w:r>
        <w:rPr>
          <w:lang w:val="en-US" w:bidi="ar-SA"/>
        </w:rPr>
        <w:drawing>
          <wp:inline distT="0" distB="0" distL="114300" distR="114300">
            <wp:extent cx="5478145" cy="1186180"/>
            <wp:effectExtent l="0" t="0" r="8255" b="444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</w:p>
    <w:p>
      <w:pPr>
        <w:pStyle w:val="4"/>
        <w:numPr>
          <w:ilvl w:val="1"/>
          <w:numId w:val="2"/>
        </w:numPr>
        <w:rPr>
          <w:lang w:val="en-US"/>
        </w:rPr>
      </w:pPr>
      <w:r>
        <w:rPr>
          <w:rFonts w:hint="eastAsia"/>
          <w:lang w:val="en-US"/>
        </w:rPr>
        <w:t>重新办理</w:t>
      </w:r>
    </w:p>
    <w:p>
      <w:pPr>
        <w:numPr>
          <w:ilvl w:val="2"/>
          <w:numId w:val="2"/>
        </w:numPr>
        <w:outlineLvl w:val="2"/>
        <w:rPr>
          <w:lang w:val="en-US"/>
        </w:rPr>
      </w:pPr>
      <w:bookmarkStart w:id="18" w:name="_Toc18268"/>
      <w:r>
        <w:rPr>
          <w:rFonts w:hint="eastAsia"/>
          <w:lang w:val="en-US"/>
        </w:rPr>
        <w:t>不通过</w:t>
      </w:r>
      <w:bookmarkEnd w:id="18"/>
    </w:p>
    <w:p>
      <w:pPr>
        <w:ind w:firstLine="420"/>
        <w:outlineLvl w:val="9"/>
        <w:rPr>
          <w:color w:val="494949"/>
          <w:sz w:val="24"/>
          <w:szCs w:val="24"/>
          <w:lang w:val="zh-CN" w:bidi="ar"/>
        </w:rPr>
      </w:pPr>
      <w:bookmarkStart w:id="19" w:name="_Toc11581"/>
      <w:bookmarkStart w:id="20" w:name="_Toc26454"/>
      <w:bookmarkStart w:id="21" w:name="_Toc14797"/>
      <w:bookmarkStart w:id="22" w:name="_Toc28437"/>
      <w:bookmarkStart w:id="23" w:name="_Toc28825"/>
      <w:r>
        <w:rPr>
          <w:rFonts w:hint="default"/>
          <w:color w:val="494949"/>
          <w:sz w:val="24"/>
          <w:szCs w:val="24"/>
          <w:lang w:val="zh-CN" w:bidi="ar"/>
        </w:rPr>
        <w:t>请及时查看已提交申请的奖项审核进度，当审核不通过时，可在办理时间范围内重新办理。</w:t>
      </w:r>
      <w:bookmarkEnd w:id="19"/>
      <w:bookmarkEnd w:id="20"/>
      <w:bookmarkEnd w:id="21"/>
      <w:bookmarkEnd w:id="22"/>
      <w:bookmarkEnd w:id="23"/>
    </w:p>
    <w:p>
      <w:pPr>
        <w:ind w:firstLine="420"/>
        <w:outlineLvl w:val="9"/>
        <w:rPr>
          <w:sz w:val="24"/>
          <w:szCs w:val="24"/>
          <w:lang w:val="zh-CN"/>
        </w:rPr>
      </w:pPr>
      <w:bookmarkStart w:id="24" w:name="_Toc4066"/>
      <w:r>
        <w:rPr>
          <w:sz w:val="24"/>
          <w:szCs w:val="24"/>
          <w:lang w:val="zh-CN" w:bidi="ar-SA"/>
        </w:rPr>
        <w:drawing>
          <wp:inline distT="0" distB="0" distL="114300" distR="114300">
            <wp:extent cx="5474970" cy="1353820"/>
            <wp:effectExtent l="0" t="0" r="1905" b="825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>
      <w:pPr>
        <w:ind w:firstLine="420"/>
        <w:rPr>
          <w:sz w:val="24"/>
          <w:szCs w:val="24"/>
          <w:lang w:val="zh-CN"/>
        </w:rPr>
      </w:pPr>
      <w:r>
        <w:rPr>
          <w:rFonts w:hint="default"/>
          <w:sz w:val="24"/>
          <w:szCs w:val="24"/>
          <w:lang w:val="zh-CN"/>
        </w:rPr>
        <w:t>点击”重新办理“，可查看审核人员给予的办理意见，并进行重新办理。</w:t>
      </w:r>
    </w:p>
    <w:p>
      <w:pPr>
        <w:ind w:firstLine="420"/>
        <w:jc w:val="both"/>
      </w:pPr>
      <w:r>
        <w:rPr>
          <w:lang w:val="en-US" w:bidi="ar-SA"/>
        </w:rPr>
        <w:drawing>
          <wp:inline distT="0" distB="0" distL="114300" distR="114300">
            <wp:extent cx="5478780" cy="1298575"/>
            <wp:effectExtent l="0" t="0" r="7620" b="63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2"/>
        </w:numPr>
        <w:outlineLvl w:val="2"/>
        <w:rPr>
          <w:lang w:val="en-US"/>
        </w:rPr>
      </w:pPr>
      <w:bookmarkStart w:id="25" w:name="_Toc7929"/>
      <w:r>
        <w:rPr>
          <w:rFonts w:hint="eastAsia"/>
          <w:lang w:val="en-US"/>
        </w:rPr>
        <w:t>回退</w:t>
      </w:r>
      <w:bookmarkEnd w:id="25"/>
    </w:p>
    <w:p>
      <w:pPr>
        <w:ind w:firstLine="420"/>
        <w:outlineLvl w:val="9"/>
        <w:rPr>
          <w:sz w:val="24"/>
          <w:szCs w:val="24"/>
          <w:lang w:val="zh-CN" w:bidi="ar"/>
        </w:rPr>
      </w:pPr>
      <w:r>
        <w:rPr>
          <w:rFonts w:hint="default"/>
          <w:sz w:val="24"/>
          <w:szCs w:val="24"/>
          <w:lang w:val="zh-CN" w:bidi="ar"/>
        </w:rPr>
        <w:t>当可参评奖项被回退时，请在办理时间范围内及时处理，点击”重新办理“即可。</w:t>
      </w:r>
    </w:p>
    <w:p>
      <w:pPr>
        <w:ind w:firstLine="420"/>
      </w:pPr>
      <w:r>
        <w:rPr>
          <w:lang w:val="en-US" w:bidi="ar-SA"/>
        </w:rPr>
        <w:drawing>
          <wp:inline distT="0" distB="0" distL="114300" distR="114300">
            <wp:extent cx="5476240" cy="1289050"/>
            <wp:effectExtent l="0" t="0" r="635" b="63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lang w:val="en-US"/>
        </w:rPr>
      </w:pPr>
    </w:p>
    <w:sectPr>
      <w:pgSz w:w="11910" w:h="16840"/>
      <w:pgMar w:top="1500" w:right="160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8633E4"/>
    <w:multiLevelType w:val="multilevel"/>
    <w:tmpl w:val="9B8633E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D2675B45"/>
    <w:multiLevelType w:val="multilevel"/>
    <w:tmpl w:val="D2675B45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hZjhlYzA3ZDFlODFjMDlhNzQzYmZkZGExMTdmNTYifQ=="/>
  </w:docVars>
  <w:rsids>
    <w:rsidRoot w:val="568A0AA6"/>
    <w:rsid w:val="00195C06"/>
    <w:rsid w:val="001E3033"/>
    <w:rsid w:val="001E6AF7"/>
    <w:rsid w:val="002A7CC3"/>
    <w:rsid w:val="00572C71"/>
    <w:rsid w:val="005E4C77"/>
    <w:rsid w:val="00EC1C1B"/>
    <w:rsid w:val="017254EA"/>
    <w:rsid w:val="031174B4"/>
    <w:rsid w:val="06346C88"/>
    <w:rsid w:val="0B567EC1"/>
    <w:rsid w:val="0B9E791C"/>
    <w:rsid w:val="0D67705E"/>
    <w:rsid w:val="0EA622AF"/>
    <w:rsid w:val="128E7108"/>
    <w:rsid w:val="13416631"/>
    <w:rsid w:val="1D035B01"/>
    <w:rsid w:val="1D350342"/>
    <w:rsid w:val="1DCC5203"/>
    <w:rsid w:val="1EAC1BDD"/>
    <w:rsid w:val="233F5F28"/>
    <w:rsid w:val="2B504C34"/>
    <w:rsid w:val="2F764986"/>
    <w:rsid w:val="32CE31C0"/>
    <w:rsid w:val="356B4540"/>
    <w:rsid w:val="3662666E"/>
    <w:rsid w:val="3D3800EE"/>
    <w:rsid w:val="3DBEDD1F"/>
    <w:rsid w:val="44F34639"/>
    <w:rsid w:val="474D43C9"/>
    <w:rsid w:val="4A394F08"/>
    <w:rsid w:val="4AC566A4"/>
    <w:rsid w:val="4DB162AD"/>
    <w:rsid w:val="52731B84"/>
    <w:rsid w:val="54E60658"/>
    <w:rsid w:val="56090A28"/>
    <w:rsid w:val="568A0AA6"/>
    <w:rsid w:val="5B2C40D2"/>
    <w:rsid w:val="60750944"/>
    <w:rsid w:val="61B56E28"/>
    <w:rsid w:val="68AF4839"/>
    <w:rsid w:val="68D07E12"/>
    <w:rsid w:val="69575AA9"/>
    <w:rsid w:val="6C8E62AD"/>
    <w:rsid w:val="6CD84C29"/>
    <w:rsid w:val="6E5E569D"/>
    <w:rsid w:val="6FD636B1"/>
    <w:rsid w:val="6FD67190"/>
    <w:rsid w:val="6FD81B0D"/>
    <w:rsid w:val="74956297"/>
    <w:rsid w:val="78D05450"/>
    <w:rsid w:val="7B181C6D"/>
    <w:rsid w:val="7B462E29"/>
    <w:rsid w:val="7C4E24B6"/>
    <w:rsid w:val="7F377124"/>
    <w:rsid w:val="7FAD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696" w:hanging="576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5">
    <w:name w:val="heading 8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6">
    <w:name w:val="heading 9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rPr>
      <w:sz w:val="24"/>
      <w:szCs w:val="24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17"/>
    <w:qFormat/>
    <w:uiPriority w:val="0"/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1"/>
    <w:pPr>
      <w:ind w:left="984" w:hanging="864"/>
    </w:pPr>
  </w:style>
  <w:style w:type="character" w:customStyle="1" w:styleId="17">
    <w:name w:val="批注框文本 字符"/>
    <w:basedOn w:val="14"/>
    <w:link w:val="9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899</Words>
  <Characters>995</Characters>
  <Lines>13</Lines>
  <Paragraphs>3</Paragraphs>
  <TotalTime>2</TotalTime>
  <ScaleCrop>false</ScaleCrop>
  <LinksUpToDate>false</LinksUpToDate>
  <CharactersWithSpaces>1031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2021-08-03T23:38:00Z</dcterms:created>
  <dc:creator>yoki</dc:creator>
  <cp:lastModifiedBy>学工部-林仪</cp:lastModifiedBy>
  <dcterms:modified xsi:type="dcterms:W3CDTF">2023-09-20T03:11:51Z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FF397DA4844743798EEA9848CC1D5783_13</vt:lpwstr>
  </property>
</Properties>
</file>